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8C1C9" w14:textId="77777777" w:rsidR="00E65D48" w:rsidRDefault="00E65D48" w:rsidP="00E65D48">
      <w:pPr>
        <w:pStyle w:val="Series"/>
        <w:spacing w:after="0"/>
        <w:rPr>
          <w:color w:val="197C7D"/>
        </w:rPr>
      </w:pPr>
    </w:p>
    <w:p w14:paraId="4D3AF583" w14:textId="77777777" w:rsidR="00E65D48" w:rsidRDefault="00E65D48" w:rsidP="00E65D48">
      <w:pPr>
        <w:pStyle w:val="Series"/>
        <w:spacing w:after="0"/>
        <w:rPr>
          <w:color w:val="197C7D"/>
        </w:rPr>
      </w:pPr>
    </w:p>
    <w:p w14:paraId="401799F3" w14:textId="77777777" w:rsidR="00E65D48" w:rsidRDefault="00E65D48" w:rsidP="00E65D48">
      <w:pPr>
        <w:pStyle w:val="Series"/>
        <w:spacing w:after="0"/>
        <w:rPr>
          <w:color w:val="197C7D"/>
        </w:rPr>
      </w:pPr>
    </w:p>
    <w:p w14:paraId="7E88DD11" w14:textId="24BCB90F" w:rsidR="00E65D48" w:rsidRDefault="00E65D48" w:rsidP="00E65D48">
      <w:pPr>
        <w:pStyle w:val="Series"/>
        <w:spacing w:after="0"/>
        <w:rPr>
          <w:color w:val="197C7D"/>
        </w:rPr>
      </w:pPr>
      <w:r w:rsidRPr="00DE3FAA">
        <w:rPr>
          <w:color w:val="197C7D"/>
        </w:rPr>
        <w:t>Safeguard Mechanism reform</w:t>
      </w:r>
      <w:r w:rsidR="002B1D40">
        <w:rPr>
          <w:color w:val="197C7D"/>
        </w:rPr>
        <w:t xml:space="preserve"> </w:t>
      </w:r>
      <w:r w:rsidRPr="00DE3FAA">
        <w:rPr>
          <w:color w:val="197C7D"/>
        </w:rPr>
        <w:t>consultation</w:t>
      </w:r>
      <w:r w:rsidR="002B1D40">
        <w:rPr>
          <w:color w:val="197C7D"/>
        </w:rPr>
        <w:t xml:space="preserve"> -</w:t>
      </w:r>
      <w:r w:rsidRPr="00DE3FAA">
        <w:rPr>
          <w:color w:val="197C7D"/>
        </w:rPr>
        <w:t xml:space="preserve"> factsheet</w:t>
      </w:r>
      <w:r>
        <w:rPr>
          <w:color w:val="197C7D"/>
        </w:rPr>
        <w:t xml:space="preserve"> 6</w:t>
      </w:r>
    </w:p>
    <w:p w14:paraId="6395CFAF" w14:textId="77777777" w:rsidR="00E65D48" w:rsidRPr="00846FEF" w:rsidRDefault="00E65D48" w:rsidP="00E65D48">
      <w:pPr>
        <w:pStyle w:val="Series"/>
        <w:spacing w:after="0"/>
        <w:rPr>
          <w:color w:val="197C7D"/>
          <w:sz w:val="24"/>
          <w:szCs w:val="24"/>
        </w:rPr>
      </w:pPr>
      <w:r w:rsidRPr="00846FEF">
        <w:rPr>
          <w:color w:val="197C7D"/>
          <w:sz w:val="24"/>
          <w:szCs w:val="24"/>
        </w:rPr>
        <w:t>January 2023</w:t>
      </w:r>
    </w:p>
    <w:p w14:paraId="456E23C8" w14:textId="27674F27" w:rsidR="00806D2A" w:rsidRPr="002B1D40" w:rsidRDefault="00806D2A" w:rsidP="00391635">
      <w:pPr>
        <w:pStyle w:val="Heading1"/>
        <w:rPr>
          <w:rFonts w:eastAsiaTheme="minorEastAsia"/>
          <w:color w:val="197C7D" w:themeColor="text2"/>
          <w:spacing w:val="0"/>
          <w:kern w:val="0"/>
          <w:sz w:val="36"/>
          <w:szCs w:val="36"/>
          <w:lang w:eastAsia="ja-JP"/>
        </w:rPr>
      </w:pPr>
      <w:r w:rsidRPr="002B1D40">
        <w:rPr>
          <w:rFonts w:eastAsiaTheme="minorEastAsia"/>
          <w:color w:val="197C7D" w:themeColor="text2"/>
          <w:spacing w:val="0"/>
          <w:kern w:val="0"/>
          <w:sz w:val="36"/>
          <w:szCs w:val="36"/>
          <w:lang w:eastAsia="ja-JP"/>
        </w:rPr>
        <w:t xml:space="preserve">Safeguard Transformation Stream </w:t>
      </w:r>
    </w:p>
    <w:p w14:paraId="233AB38F" w14:textId="4E4DC2C4" w:rsidR="00DF522D" w:rsidRDefault="00D80D02" w:rsidP="008F23B2">
      <w:pPr>
        <w:pStyle w:val="Date"/>
        <w:tabs>
          <w:tab w:val="left" w:pos="7995"/>
        </w:tabs>
        <w:spacing w:before="0" w:line="240" w:lineRule="auto"/>
      </w:pPr>
      <w:r>
        <w:rPr>
          <w:rFonts w:asciiTheme="minorHAnsi" w:hAnsiTheme="minorHAnsi" w:cstheme="minorHAnsi"/>
        </w:rPr>
        <w:t>T</w:t>
      </w:r>
      <w:r w:rsidR="009D2FDA" w:rsidRPr="00FA4E09">
        <w:rPr>
          <w:rFonts w:asciiTheme="minorHAnsi" w:hAnsiTheme="minorHAnsi" w:cstheme="minorHAnsi"/>
        </w:rPr>
        <w:t xml:space="preserve">he Australian Government’s </w:t>
      </w:r>
      <w:r w:rsidR="009D2FDA" w:rsidRPr="00503F2F">
        <w:rPr>
          <w:rFonts w:asciiTheme="minorHAnsi" w:hAnsiTheme="minorHAnsi" w:cstheme="minorHAnsi"/>
          <w:b/>
        </w:rPr>
        <w:t>$1.9 billion Powering the Regions Fund</w:t>
      </w:r>
      <w:r w:rsidR="009D2FDA" w:rsidRPr="00503F2F">
        <w:rPr>
          <w:rFonts w:asciiTheme="minorHAnsi" w:hAnsiTheme="minorHAnsi" w:cstheme="minorHAnsi"/>
        </w:rPr>
        <w:t xml:space="preserve"> (PRF)</w:t>
      </w:r>
      <w:r w:rsidR="00DF522D">
        <w:rPr>
          <w:rFonts w:asciiTheme="minorHAnsi" w:hAnsiTheme="minorHAnsi" w:cstheme="minorHAnsi"/>
        </w:rPr>
        <w:t xml:space="preserve"> </w:t>
      </w:r>
      <w:r w:rsidR="00803DE5">
        <w:rPr>
          <w:rFonts w:asciiTheme="minorHAnsi" w:hAnsiTheme="minorHAnsi" w:cstheme="minorHAnsi"/>
        </w:rPr>
        <w:t>will support decarbonisation of Australia</w:t>
      </w:r>
      <w:r w:rsidR="00A0014D">
        <w:rPr>
          <w:rFonts w:asciiTheme="minorHAnsi" w:hAnsiTheme="minorHAnsi" w:cstheme="minorHAnsi"/>
        </w:rPr>
        <w:t>n</w:t>
      </w:r>
      <w:r w:rsidR="00803DE5">
        <w:rPr>
          <w:rFonts w:asciiTheme="minorHAnsi" w:hAnsiTheme="minorHAnsi" w:cstheme="minorHAnsi"/>
        </w:rPr>
        <w:t xml:space="preserve"> industry and ensure our regions thrive. O</w:t>
      </w:r>
      <w:r w:rsidR="004227A5">
        <w:t xml:space="preserve">ne of </w:t>
      </w:r>
      <w:r w:rsidR="00A30DC6">
        <w:t>PRF’s</w:t>
      </w:r>
      <w:r w:rsidR="00803DE5">
        <w:t xml:space="preserve"> </w:t>
      </w:r>
      <w:r w:rsidR="004227A5">
        <w:t>objectives</w:t>
      </w:r>
      <w:r w:rsidR="00803DE5">
        <w:t xml:space="preserve"> is </w:t>
      </w:r>
      <w:r w:rsidR="00DF522D">
        <w:t>to</w:t>
      </w:r>
      <w:r w:rsidR="00DF522D" w:rsidRPr="00547783">
        <w:t xml:space="preserve"> unlock decarbonisation opportunities in existing industries</w:t>
      </w:r>
      <w:r w:rsidR="00DF522D">
        <w:t xml:space="preserve"> under </w:t>
      </w:r>
      <w:r w:rsidR="00AB4BFE">
        <w:t>two proposed</w:t>
      </w:r>
      <w:r w:rsidR="00DF522D">
        <w:t xml:space="preserve"> streams: the Safeguard Transformation Stream (STS) and the Industry Decarbonisation Stream. This factsheet focuses on the STS.</w:t>
      </w:r>
    </w:p>
    <w:p w14:paraId="1E074B0B" w14:textId="37154185" w:rsidR="00E861E0" w:rsidRPr="00FA4E09" w:rsidRDefault="00DF522D" w:rsidP="00FA4E09">
      <w:pPr>
        <w:spacing w:after="160" w:line="259" w:lineRule="auto"/>
        <w:rPr>
          <w:rStyle w:val="Hyperlink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041A65" w:rsidRPr="00FA4E09">
        <w:rPr>
          <w:rFonts w:asciiTheme="minorHAnsi" w:hAnsiTheme="minorHAnsi" w:cstheme="minorHAnsi"/>
        </w:rPr>
        <w:t xml:space="preserve">he </w:t>
      </w:r>
      <w:r w:rsidR="00E65D48">
        <w:rPr>
          <w:rFonts w:asciiTheme="minorHAnsi" w:hAnsiTheme="minorHAnsi" w:cstheme="minorHAnsi"/>
        </w:rPr>
        <w:t>g</w:t>
      </w:r>
      <w:r w:rsidR="00041A65" w:rsidRPr="00FA4E09">
        <w:rPr>
          <w:rFonts w:asciiTheme="minorHAnsi" w:hAnsiTheme="minorHAnsi" w:cstheme="minorHAnsi"/>
        </w:rPr>
        <w:t xml:space="preserve">overnment </w:t>
      </w:r>
      <w:r>
        <w:rPr>
          <w:rFonts w:asciiTheme="minorHAnsi" w:hAnsiTheme="minorHAnsi" w:cstheme="minorHAnsi"/>
        </w:rPr>
        <w:t>is reforming</w:t>
      </w:r>
      <w:r w:rsidR="00F27A74" w:rsidRPr="00FA4E09">
        <w:rPr>
          <w:rFonts w:asciiTheme="minorHAnsi" w:hAnsiTheme="minorHAnsi" w:cstheme="minorHAnsi"/>
        </w:rPr>
        <w:t xml:space="preserve"> the </w:t>
      </w:r>
      <w:r w:rsidR="00011AC6" w:rsidRPr="002B1D40">
        <w:t>Safeguard Mechanism</w:t>
      </w:r>
      <w:r>
        <w:rPr>
          <w:rFonts w:asciiTheme="minorHAnsi" w:hAnsiTheme="minorHAnsi" w:cstheme="minorHAnsi"/>
          <w:b/>
        </w:rPr>
        <w:t xml:space="preserve"> </w:t>
      </w:r>
      <w:r w:rsidRPr="000542E2">
        <w:rPr>
          <w:rFonts w:asciiTheme="minorHAnsi" w:hAnsiTheme="minorHAnsi" w:cstheme="minorHAnsi"/>
        </w:rPr>
        <w:t>to</w:t>
      </w:r>
      <w:r w:rsidR="00803DE5">
        <w:rPr>
          <w:rFonts w:asciiTheme="minorHAnsi" w:hAnsiTheme="minorHAnsi" w:cstheme="minorHAnsi"/>
        </w:rPr>
        <w:t xml:space="preserve"> ensure Australia’s largest industrial emitters </w:t>
      </w:r>
      <w:r w:rsidR="00AB4BFE">
        <w:rPr>
          <w:rFonts w:asciiTheme="minorHAnsi" w:hAnsiTheme="minorHAnsi" w:cstheme="minorHAnsi"/>
        </w:rPr>
        <w:t xml:space="preserve">remain competitive in a decarbonising global economy and </w:t>
      </w:r>
      <w:r w:rsidR="00803DE5">
        <w:rPr>
          <w:rFonts w:asciiTheme="minorHAnsi" w:hAnsiTheme="minorHAnsi" w:cstheme="minorHAnsi"/>
        </w:rPr>
        <w:t xml:space="preserve">contribute to meeting Australia’s climate targets. </w:t>
      </w:r>
      <w:r w:rsidR="00E65D48">
        <w:rPr>
          <w:rFonts w:asciiTheme="minorHAnsi" w:hAnsiTheme="minorHAnsi" w:cstheme="minorHAnsi"/>
        </w:rPr>
        <w:t>C</w:t>
      </w:r>
      <w:r w:rsidR="00E23BCC">
        <w:rPr>
          <w:rFonts w:asciiTheme="minorHAnsi" w:hAnsiTheme="minorHAnsi" w:cstheme="minorHAnsi"/>
        </w:rPr>
        <w:t>onsult</w:t>
      </w:r>
      <w:r w:rsidR="00E65D48">
        <w:rPr>
          <w:rFonts w:asciiTheme="minorHAnsi" w:hAnsiTheme="minorHAnsi" w:cstheme="minorHAnsi"/>
        </w:rPr>
        <w:t>ation is underway</w:t>
      </w:r>
      <w:r w:rsidR="00E23BCC">
        <w:rPr>
          <w:rFonts w:asciiTheme="minorHAnsi" w:hAnsiTheme="minorHAnsi" w:cstheme="minorHAnsi"/>
        </w:rPr>
        <w:t xml:space="preserve"> on </w:t>
      </w:r>
      <w:hyperlink r:id="rId12" w:history="1">
        <w:r w:rsidR="00E23BCC" w:rsidRPr="00011AC6">
          <w:rPr>
            <w:rStyle w:val="Hyperlink"/>
            <w:rFonts w:asciiTheme="minorHAnsi" w:hAnsiTheme="minorHAnsi" w:cstheme="minorHAnsi"/>
          </w:rPr>
          <w:t>proposed reforms</w:t>
        </w:r>
      </w:hyperlink>
      <w:r w:rsidR="00C96BF6">
        <w:rPr>
          <w:rFonts w:asciiTheme="minorHAnsi" w:hAnsiTheme="minorHAnsi" w:cstheme="minorHAnsi"/>
        </w:rPr>
        <w:t xml:space="preserve"> to</w:t>
      </w:r>
      <w:r>
        <w:rPr>
          <w:rFonts w:asciiTheme="minorHAnsi" w:hAnsiTheme="minorHAnsi" w:cstheme="minorHAnsi"/>
          <w:b/>
        </w:rPr>
        <w:t xml:space="preserve"> </w:t>
      </w:r>
      <w:r w:rsidRPr="00FA4E09">
        <w:rPr>
          <w:rFonts w:asciiTheme="minorHAnsi" w:hAnsiTheme="minorHAnsi" w:cstheme="minorHAnsi"/>
        </w:rPr>
        <w:t xml:space="preserve">gradually and predictably reduce emissions baselines for </w:t>
      </w:r>
      <w:r w:rsidR="00620923">
        <w:rPr>
          <w:rFonts w:asciiTheme="minorHAnsi" w:hAnsiTheme="minorHAnsi" w:cstheme="minorHAnsi"/>
        </w:rPr>
        <w:t>these emitters</w:t>
      </w:r>
      <w:r w:rsidRPr="00C8307E">
        <w:rPr>
          <w:rFonts w:asciiTheme="minorHAnsi" w:hAnsiTheme="minorHAnsi"/>
        </w:rPr>
        <w:t>.</w:t>
      </w:r>
      <w:r w:rsidR="00743DFB" w:rsidRPr="000542E2">
        <w:t xml:space="preserve"> </w:t>
      </w:r>
      <w:r w:rsidR="00E861E0" w:rsidRPr="000542E2">
        <w:t xml:space="preserve">The reforms will </w:t>
      </w:r>
      <w:r w:rsidR="00E861E0" w:rsidRPr="00FA4E09">
        <w:rPr>
          <w:rFonts w:asciiTheme="minorHAnsi" w:hAnsiTheme="minorHAnsi"/>
        </w:rPr>
        <w:t>provide a clear signal to industry to a</w:t>
      </w:r>
      <w:r w:rsidR="006E03C4">
        <w:rPr>
          <w:rFonts w:asciiTheme="minorHAnsi" w:hAnsiTheme="minorHAnsi"/>
        </w:rPr>
        <w:t>ccelerate low carbon innovation</w:t>
      </w:r>
      <w:r w:rsidR="00E861E0" w:rsidRPr="00FA4E09">
        <w:rPr>
          <w:rFonts w:asciiTheme="minorHAnsi" w:hAnsiTheme="minorHAnsi"/>
        </w:rPr>
        <w:t xml:space="preserve"> and bring forward </w:t>
      </w:r>
      <w:r w:rsidR="00E861E0">
        <w:rPr>
          <w:rFonts w:asciiTheme="minorHAnsi" w:hAnsiTheme="minorHAnsi"/>
        </w:rPr>
        <w:t>investment in clean technology</w:t>
      </w:r>
      <w:r w:rsidR="00AB4BFE">
        <w:rPr>
          <w:rFonts w:asciiTheme="minorHAnsi" w:hAnsiTheme="minorHAnsi"/>
        </w:rPr>
        <w:t xml:space="preserve"> – consistent with industry’s own commitment</w:t>
      </w:r>
      <w:r w:rsidR="00D443B0">
        <w:rPr>
          <w:rFonts w:asciiTheme="minorHAnsi" w:hAnsiTheme="minorHAnsi"/>
        </w:rPr>
        <w:t>s</w:t>
      </w:r>
      <w:r w:rsidR="00AB4BFE">
        <w:rPr>
          <w:rFonts w:asciiTheme="minorHAnsi" w:hAnsiTheme="minorHAnsi"/>
        </w:rPr>
        <w:t xml:space="preserve"> to net zero</w:t>
      </w:r>
      <w:r w:rsidR="00E861E0">
        <w:rPr>
          <w:rFonts w:asciiTheme="minorHAnsi" w:hAnsiTheme="minorHAnsi"/>
        </w:rPr>
        <w:t xml:space="preserve">. </w:t>
      </w:r>
    </w:p>
    <w:p w14:paraId="18D6B386" w14:textId="1EAC3BD5" w:rsidR="009D51B1" w:rsidRPr="00FA4E09" w:rsidRDefault="00AB4BFE" w:rsidP="00FA4E09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C434FA" w:rsidRPr="00FA4E09">
        <w:rPr>
          <w:rFonts w:asciiTheme="minorHAnsi" w:hAnsiTheme="minorHAnsi"/>
        </w:rPr>
        <w:t xml:space="preserve">he Safeguard Mechanism covers </w:t>
      </w:r>
      <w:r w:rsidR="00A0014D">
        <w:rPr>
          <w:rFonts w:asciiTheme="minorHAnsi" w:hAnsiTheme="minorHAnsi"/>
        </w:rPr>
        <w:t>some</w:t>
      </w:r>
      <w:r w:rsidR="00A0014D" w:rsidRPr="00FA4E09">
        <w:rPr>
          <w:rFonts w:asciiTheme="minorHAnsi" w:hAnsiTheme="minorHAnsi"/>
        </w:rPr>
        <w:t xml:space="preserve"> </w:t>
      </w:r>
      <w:r w:rsidR="00C434FA" w:rsidRPr="00FA4E09">
        <w:rPr>
          <w:rFonts w:asciiTheme="minorHAnsi" w:hAnsiTheme="minorHAnsi"/>
        </w:rPr>
        <w:t>‘hard-to-abate’ sectors</w:t>
      </w:r>
      <w:r w:rsidR="00E861E0" w:rsidRPr="00E861E0">
        <w:rPr>
          <w:rFonts w:asciiTheme="minorHAnsi" w:hAnsiTheme="minorHAnsi"/>
        </w:rPr>
        <w:t xml:space="preserve"> </w:t>
      </w:r>
      <w:r w:rsidR="00E861E0" w:rsidRPr="00FA4E09">
        <w:rPr>
          <w:rFonts w:asciiTheme="minorHAnsi" w:hAnsiTheme="minorHAnsi"/>
        </w:rPr>
        <w:t xml:space="preserve">where </w:t>
      </w:r>
      <w:r w:rsidR="00803DE5">
        <w:rPr>
          <w:rFonts w:asciiTheme="minorHAnsi" w:hAnsiTheme="minorHAnsi"/>
        </w:rPr>
        <w:t xml:space="preserve">clean </w:t>
      </w:r>
      <w:r w:rsidR="00E861E0" w:rsidRPr="00FA4E09">
        <w:rPr>
          <w:rFonts w:asciiTheme="minorHAnsi" w:hAnsiTheme="minorHAnsi"/>
        </w:rPr>
        <w:t xml:space="preserve">technology </w:t>
      </w:r>
      <w:r w:rsidR="00803DE5">
        <w:rPr>
          <w:rFonts w:asciiTheme="minorHAnsi" w:hAnsiTheme="minorHAnsi"/>
        </w:rPr>
        <w:t>options are still being demonstrated and commercialised</w:t>
      </w:r>
      <w:r w:rsidR="00E861E0">
        <w:rPr>
          <w:rFonts w:asciiTheme="minorHAnsi" w:hAnsiTheme="minorHAnsi"/>
        </w:rPr>
        <w:t xml:space="preserve">. Many </w:t>
      </w:r>
      <w:r w:rsidR="00803DE5">
        <w:rPr>
          <w:rFonts w:asciiTheme="minorHAnsi" w:hAnsiTheme="minorHAnsi"/>
        </w:rPr>
        <w:t xml:space="preserve">Safeguard </w:t>
      </w:r>
      <w:r w:rsidR="00E861E0">
        <w:rPr>
          <w:rFonts w:asciiTheme="minorHAnsi" w:hAnsiTheme="minorHAnsi"/>
        </w:rPr>
        <w:t xml:space="preserve">facilities are </w:t>
      </w:r>
      <w:r w:rsidR="004D0B94">
        <w:rPr>
          <w:rFonts w:asciiTheme="minorHAnsi" w:hAnsiTheme="minorHAnsi"/>
        </w:rPr>
        <w:t>‘</w:t>
      </w:r>
      <w:r w:rsidR="00E861E0">
        <w:rPr>
          <w:rFonts w:asciiTheme="minorHAnsi" w:hAnsiTheme="minorHAnsi"/>
        </w:rPr>
        <w:t>trade</w:t>
      </w:r>
      <w:r w:rsidR="005B7249">
        <w:rPr>
          <w:rFonts w:asciiTheme="minorHAnsi" w:hAnsiTheme="minorHAnsi"/>
        </w:rPr>
        <w:t>-</w:t>
      </w:r>
      <w:r w:rsidR="00E861E0">
        <w:rPr>
          <w:rFonts w:asciiTheme="minorHAnsi" w:hAnsiTheme="minorHAnsi"/>
        </w:rPr>
        <w:t>exposed</w:t>
      </w:r>
      <w:r w:rsidR="004D0B94">
        <w:rPr>
          <w:rFonts w:asciiTheme="minorHAnsi" w:hAnsiTheme="minorHAnsi"/>
        </w:rPr>
        <w:t>’</w:t>
      </w:r>
      <w:r w:rsidR="00E861E0">
        <w:rPr>
          <w:rFonts w:asciiTheme="minorHAnsi" w:hAnsiTheme="minorHAnsi"/>
        </w:rPr>
        <w:t xml:space="preserve">, as they face competition from imports </w:t>
      </w:r>
      <w:r w:rsidR="00630E33">
        <w:rPr>
          <w:rFonts w:asciiTheme="minorHAnsi" w:hAnsiTheme="minorHAnsi"/>
        </w:rPr>
        <w:t>and</w:t>
      </w:r>
      <w:r w:rsidR="00E861E0">
        <w:rPr>
          <w:rFonts w:asciiTheme="minorHAnsi" w:hAnsiTheme="minorHAnsi"/>
        </w:rPr>
        <w:t xml:space="preserve"> international markets. </w:t>
      </w:r>
      <w:r w:rsidR="00D331CE" w:rsidRPr="00FA4E09">
        <w:rPr>
          <w:rFonts w:asciiTheme="minorHAnsi" w:hAnsiTheme="minorHAnsi"/>
        </w:rPr>
        <w:t>It is important th</w:t>
      </w:r>
      <w:r w:rsidR="00630E33">
        <w:rPr>
          <w:rFonts w:asciiTheme="minorHAnsi" w:hAnsiTheme="minorHAnsi"/>
        </w:rPr>
        <w:t>at Safeguard facilities remain competitive as the world decarbonises, and that th</w:t>
      </w:r>
      <w:r w:rsidR="00D331CE" w:rsidRPr="00FA4E09">
        <w:rPr>
          <w:rFonts w:asciiTheme="minorHAnsi" w:hAnsiTheme="minorHAnsi"/>
        </w:rPr>
        <w:t xml:space="preserve">e reforms do not </w:t>
      </w:r>
      <w:r w:rsidR="007761A1">
        <w:rPr>
          <w:rFonts w:asciiTheme="minorHAnsi" w:hAnsiTheme="minorHAnsi"/>
        </w:rPr>
        <w:t xml:space="preserve">result in </w:t>
      </w:r>
      <w:r w:rsidR="00B5706F">
        <w:rPr>
          <w:rFonts w:asciiTheme="minorHAnsi" w:hAnsiTheme="minorHAnsi"/>
        </w:rPr>
        <w:t>‘</w:t>
      </w:r>
      <w:r w:rsidR="007761A1">
        <w:rPr>
          <w:rFonts w:asciiTheme="minorHAnsi" w:hAnsiTheme="minorHAnsi"/>
        </w:rPr>
        <w:t>carbon leakage</w:t>
      </w:r>
      <w:r w:rsidR="00B5706F">
        <w:rPr>
          <w:rFonts w:asciiTheme="minorHAnsi" w:hAnsiTheme="minorHAnsi"/>
        </w:rPr>
        <w:t>’</w:t>
      </w:r>
      <w:r w:rsidR="008D5B2A">
        <w:rPr>
          <w:rFonts w:asciiTheme="minorHAnsi" w:hAnsiTheme="minorHAnsi"/>
        </w:rPr>
        <w:t xml:space="preserve">, </w:t>
      </w:r>
      <w:r w:rsidR="00E861E0">
        <w:rPr>
          <w:rFonts w:asciiTheme="minorHAnsi" w:hAnsiTheme="minorHAnsi"/>
        </w:rPr>
        <w:t xml:space="preserve">where </w:t>
      </w:r>
      <w:r w:rsidR="008D5B2A">
        <w:rPr>
          <w:rFonts w:asciiTheme="minorHAnsi" w:hAnsiTheme="minorHAnsi"/>
        </w:rPr>
        <w:t xml:space="preserve">the emissions </w:t>
      </w:r>
      <w:r w:rsidR="00E861E0">
        <w:rPr>
          <w:rFonts w:asciiTheme="minorHAnsi" w:hAnsiTheme="minorHAnsi"/>
        </w:rPr>
        <w:t xml:space="preserve">are </w:t>
      </w:r>
      <w:r w:rsidR="008D5B2A">
        <w:rPr>
          <w:rFonts w:asciiTheme="minorHAnsi" w:hAnsiTheme="minorHAnsi"/>
        </w:rPr>
        <w:t>produced overseas instead</w:t>
      </w:r>
      <w:r w:rsidR="00A80873" w:rsidRPr="00FA4E09">
        <w:rPr>
          <w:rFonts w:asciiTheme="minorHAnsi" w:hAnsiTheme="minorHAnsi"/>
        </w:rPr>
        <w:t>.</w:t>
      </w:r>
      <w:r w:rsidR="00382610" w:rsidRPr="00FA4E09">
        <w:rPr>
          <w:rFonts w:asciiTheme="minorHAnsi" w:hAnsiTheme="minorHAnsi"/>
        </w:rPr>
        <w:t xml:space="preserve"> </w:t>
      </w:r>
      <w:r w:rsidR="00911233">
        <w:rPr>
          <w:rFonts w:asciiTheme="minorHAnsi" w:hAnsiTheme="minorHAnsi"/>
        </w:rPr>
        <w:t xml:space="preserve"> </w:t>
      </w:r>
      <w:r w:rsidR="00911233" w:rsidRPr="00413D15">
        <w:rPr>
          <w:lang w:val="en-GB"/>
        </w:rPr>
        <w:t>It is recognised that many existing trade exposed facilities are part of strategic national indust</w:t>
      </w:r>
      <w:r w:rsidR="00911233">
        <w:rPr>
          <w:lang w:val="en-GB"/>
        </w:rPr>
        <w:t xml:space="preserve">ries, such as metals, chemicals, </w:t>
      </w:r>
      <w:r w:rsidR="00911233" w:rsidRPr="00413D15">
        <w:rPr>
          <w:lang w:val="en-GB"/>
        </w:rPr>
        <w:t>cement manufacturing and critical minerals, that provide key inputs to clean energy supply chains and are important to capturing the benefits from a global net zero economy.</w:t>
      </w:r>
    </w:p>
    <w:p w14:paraId="7FB1DCF0" w14:textId="5EB31223" w:rsidR="00EC18B8" w:rsidRDefault="00820EC6" w:rsidP="009A2143">
      <w:pPr>
        <w:pStyle w:val="CABNETParagraph"/>
        <w:rPr>
          <w:rFonts w:asciiTheme="majorHAnsi" w:hAnsiTheme="majorHAnsi" w:cstheme="majorHAnsi"/>
          <w:b/>
          <w:color w:val="197C7D" w:themeColor="text2"/>
          <w:sz w:val="28"/>
          <w:szCs w:val="28"/>
        </w:rPr>
      </w:pPr>
      <w:r>
        <w:rPr>
          <w:rFonts w:asciiTheme="majorHAnsi" w:hAnsiTheme="majorHAnsi" w:cstheme="majorHAnsi"/>
          <w:b/>
          <w:color w:val="197C7D" w:themeColor="text2"/>
          <w:sz w:val="28"/>
          <w:szCs w:val="28"/>
        </w:rPr>
        <w:t xml:space="preserve">$600m </w:t>
      </w:r>
      <w:r w:rsidR="00626449">
        <w:rPr>
          <w:rFonts w:asciiTheme="majorHAnsi" w:hAnsiTheme="majorHAnsi" w:cstheme="majorHAnsi"/>
          <w:b/>
          <w:color w:val="197C7D" w:themeColor="text2"/>
          <w:sz w:val="28"/>
          <w:szCs w:val="28"/>
        </w:rPr>
        <w:t>for</w:t>
      </w:r>
      <w:r w:rsidR="001631D0">
        <w:rPr>
          <w:rFonts w:asciiTheme="majorHAnsi" w:hAnsiTheme="majorHAnsi" w:cstheme="majorHAnsi"/>
          <w:b/>
          <w:color w:val="197C7D" w:themeColor="text2"/>
          <w:sz w:val="28"/>
          <w:szCs w:val="28"/>
        </w:rPr>
        <w:t xml:space="preserve"> </w:t>
      </w:r>
      <w:r w:rsidR="002A18A3">
        <w:rPr>
          <w:rFonts w:asciiTheme="majorHAnsi" w:hAnsiTheme="majorHAnsi" w:cstheme="majorHAnsi"/>
          <w:b/>
          <w:color w:val="197C7D" w:themeColor="text2"/>
          <w:sz w:val="28"/>
          <w:szCs w:val="28"/>
        </w:rPr>
        <w:t>t</w:t>
      </w:r>
      <w:r w:rsidR="00A1000C">
        <w:rPr>
          <w:rFonts w:asciiTheme="majorHAnsi" w:hAnsiTheme="majorHAnsi" w:cstheme="majorHAnsi"/>
          <w:b/>
          <w:color w:val="197C7D" w:themeColor="text2"/>
          <w:sz w:val="28"/>
          <w:szCs w:val="28"/>
        </w:rPr>
        <w:t>rade</w:t>
      </w:r>
      <w:r w:rsidR="005B7249">
        <w:rPr>
          <w:rFonts w:asciiTheme="majorHAnsi" w:hAnsiTheme="majorHAnsi" w:cstheme="majorHAnsi"/>
          <w:b/>
          <w:color w:val="197C7D" w:themeColor="text2"/>
          <w:sz w:val="28"/>
          <w:szCs w:val="28"/>
        </w:rPr>
        <w:t>-</w:t>
      </w:r>
      <w:r w:rsidR="00A1000C">
        <w:rPr>
          <w:rFonts w:asciiTheme="majorHAnsi" w:hAnsiTheme="majorHAnsi" w:cstheme="majorHAnsi"/>
          <w:b/>
          <w:color w:val="197C7D" w:themeColor="text2"/>
          <w:sz w:val="28"/>
          <w:szCs w:val="28"/>
        </w:rPr>
        <w:t xml:space="preserve">exposed </w:t>
      </w:r>
      <w:r w:rsidR="002A18A3">
        <w:rPr>
          <w:rFonts w:asciiTheme="majorHAnsi" w:hAnsiTheme="majorHAnsi" w:cstheme="majorHAnsi"/>
          <w:b/>
          <w:color w:val="197C7D" w:themeColor="text2"/>
          <w:sz w:val="28"/>
          <w:szCs w:val="28"/>
        </w:rPr>
        <w:t xml:space="preserve">Safeguard </w:t>
      </w:r>
      <w:r w:rsidR="00EC18B8" w:rsidRPr="00136C72">
        <w:rPr>
          <w:rFonts w:asciiTheme="majorHAnsi" w:hAnsiTheme="majorHAnsi" w:cstheme="majorHAnsi"/>
          <w:b/>
          <w:color w:val="197C7D" w:themeColor="text2"/>
          <w:sz w:val="28"/>
          <w:szCs w:val="28"/>
        </w:rPr>
        <w:t>facilities</w:t>
      </w:r>
      <w:r w:rsidR="001631D0">
        <w:rPr>
          <w:rFonts w:asciiTheme="majorHAnsi" w:hAnsiTheme="majorHAnsi" w:cstheme="majorHAnsi"/>
          <w:b/>
          <w:color w:val="197C7D" w:themeColor="text2"/>
          <w:sz w:val="28"/>
          <w:szCs w:val="28"/>
        </w:rPr>
        <w:t xml:space="preserve"> </w:t>
      </w:r>
      <w:r w:rsidR="00100CF6">
        <w:rPr>
          <w:rFonts w:asciiTheme="majorHAnsi" w:hAnsiTheme="majorHAnsi" w:cstheme="majorHAnsi"/>
          <w:b/>
          <w:color w:val="197C7D" w:themeColor="text2"/>
          <w:sz w:val="28"/>
          <w:szCs w:val="28"/>
        </w:rPr>
        <w:t xml:space="preserve">to </w:t>
      </w:r>
      <w:r w:rsidR="001631D0">
        <w:rPr>
          <w:rFonts w:asciiTheme="majorHAnsi" w:hAnsiTheme="majorHAnsi" w:cstheme="majorHAnsi"/>
          <w:b/>
          <w:color w:val="197C7D" w:themeColor="text2"/>
          <w:sz w:val="28"/>
          <w:szCs w:val="28"/>
        </w:rPr>
        <w:t>adopt low emissions tech</w:t>
      </w:r>
      <w:r w:rsidR="00100CF6">
        <w:rPr>
          <w:rFonts w:asciiTheme="majorHAnsi" w:hAnsiTheme="majorHAnsi" w:cstheme="majorHAnsi"/>
          <w:b/>
          <w:color w:val="197C7D" w:themeColor="text2"/>
          <w:sz w:val="28"/>
          <w:szCs w:val="28"/>
        </w:rPr>
        <w:t>nology</w:t>
      </w:r>
    </w:p>
    <w:p w14:paraId="6575EB68" w14:textId="5080295A" w:rsidR="00BF33A0" w:rsidRDefault="006E03C4" w:rsidP="006E03C4">
      <w:pPr>
        <w:spacing w:after="160" w:line="259" w:lineRule="auto"/>
        <w:rPr>
          <w:rFonts w:cstheme="majorHAnsi"/>
        </w:rPr>
      </w:pPr>
      <w:r>
        <w:t xml:space="preserve">In </w:t>
      </w:r>
      <w:r w:rsidR="00AB4BFE">
        <w:t>this context</w:t>
      </w:r>
      <w:r>
        <w:t xml:space="preserve">, the </w:t>
      </w:r>
      <w:r w:rsidR="000A2A06">
        <w:t>g</w:t>
      </w:r>
      <w:r>
        <w:t xml:space="preserve">overnment </w:t>
      </w:r>
      <w:r w:rsidR="00570C20">
        <w:t>will establish</w:t>
      </w:r>
      <w:r>
        <w:t xml:space="preserve"> the </w:t>
      </w:r>
      <w:r w:rsidRPr="00FA4E09">
        <w:rPr>
          <w:b/>
        </w:rPr>
        <w:t>$600 million</w:t>
      </w:r>
      <w:r>
        <w:t xml:space="preserve"> </w:t>
      </w:r>
      <w:r w:rsidRPr="00FA4E09">
        <w:rPr>
          <w:b/>
        </w:rPr>
        <w:t>Safeguard Transformation Stream</w:t>
      </w:r>
      <w:r>
        <w:t xml:space="preserve"> (STS) within the PRF. </w:t>
      </w:r>
      <w:bookmarkStart w:id="0" w:name="_Hlk122368746"/>
      <w:r>
        <w:t xml:space="preserve">The STS will provide dedicated </w:t>
      </w:r>
      <w:r>
        <w:rPr>
          <w:rFonts w:cstheme="majorHAnsi"/>
        </w:rPr>
        <w:t>funding</w:t>
      </w:r>
      <w:r w:rsidRPr="00136C72">
        <w:rPr>
          <w:rFonts w:cstheme="majorHAnsi"/>
        </w:rPr>
        <w:t xml:space="preserve"> </w:t>
      </w:r>
      <w:r>
        <w:rPr>
          <w:rFonts w:cstheme="majorHAnsi"/>
        </w:rPr>
        <w:t xml:space="preserve">for projects that reduce emissions at </w:t>
      </w:r>
      <w:r w:rsidR="00E23BCC">
        <w:rPr>
          <w:rFonts w:cstheme="majorHAnsi"/>
        </w:rPr>
        <w:t xml:space="preserve">Safeguard facilities that are </w:t>
      </w:r>
      <w:proofErr w:type="gramStart"/>
      <w:r w:rsidRPr="00136C72">
        <w:rPr>
          <w:rFonts w:cstheme="majorHAnsi"/>
        </w:rPr>
        <w:t>trade-exposed</w:t>
      </w:r>
      <w:proofErr w:type="gramEnd"/>
      <w:r w:rsidRPr="00136C72">
        <w:rPr>
          <w:rFonts w:cstheme="majorHAnsi"/>
        </w:rPr>
        <w:t>.</w:t>
      </w:r>
      <w:r>
        <w:rPr>
          <w:rFonts w:cstheme="majorHAnsi"/>
        </w:rPr>
        <w:t xml:space="preserve"> </w:t>
      </w:r>
      <w:bookmarkEnd w:id="0"/>
    </w:p>
    <w:p w14:paraId="77D4D74F" w14:textId="537ACB67" w:rsidR="006E03C4" w:rsidRPr="00C8307E" w:rsidRDefault="001F5F35" w:rsidP="006E03C4">
      <w:pPr>
        <w:spacing w:after="160" w:line="259" w:lineRule="auto"/>
        <w:rPr>
          <w:rFonts w:cstheme="majorHAnsi"/>
        </w:rPr>
      </w:pPr>
      <w:r>
        <w:rPr>
          <w:rFonts w:cstheme="majorHAnsi"/>
        </w:rPr>
        <w:t xml:space="preserve">The STS </w:t>
      </w:r>
      <w:r w:rsidR="00986C1A">
        <w:rPr>
          <w:rFonts w:cstheme="majorHAnsi"/>
        </w:rPr>
        <w:t>will</w:t>
      </w:r>
      <w:r w:rsidR="00BF33A0" w:rsidRPr="00BF33A0">
        <w:rPr>
          <w:rFonts w:cstheme="majorHAnsi"/>
        </w:rPr>
        <w:t xml:space="preserve"> support </w:t>
      </w:r>
      <w:r w:rsidR="00BF33A0">
        <w:rPr>
          <w:rFonts w:cstheme="majorHAnsi"/>
        </w:rPr>
        <w:t>projects that reduce emissions covered by the Safeguard Mechanism (</w:t>
      </w:r>
      <w:proofErr w:type="gramStart"/>
      <w:r w:rsidR="00BF33A0">
        <w:rPr>
          <w:rFonts w:cstheme="majorHAnsi"/>
        </w:rPr>
        <w:t>i.e.</w:t>
      </w:r>
      <w:proofErr w:type="gramEnd"/>
      <w:r w:rsidR="00BF33A0">
        <w:rPr>
          <w:rFonts w:cstheme="majorHAnsi"/>
        </w:rPr>
        <w:t xml:space="preserve"> </w:t>
      </w:r>
      <w:r w:rsidR="00E23BCC">
        <w:rPr>
          <w:rFonts w:cstheme="majorHAnsi"/>
        </w:rPr>
        <w:t>eligible facilities’</w:t>
      </w:r>
      <w:r w:rsidR="00BF33A0">
        <w:rPr>
          <w:rFonts w:cstheme="majorHAnsi"/>
        </w:rPr>
        <w:t xml:space="preserve"> scope 1 emissions). </w:t>
      </w:r>
      <w:r w:rsidR="00BF33A0" w:rsidRPr="00BF33A0">
        <w:rPr>
          <w:rFonts w:cstheme="majorHAnsi"/>
        </w:rPr>
        <w:t xml:space="preserve">The STS is intended to be technology and project neutral and could support a range of project types </w:t>
      </w:r>
      <w:r w:rsidR="00570C20">
        <w:rPr>
          <w:rFonts w:cstheme="majorHAnsi"/>
        </w:rPr>
        <w:t>like</w:t>
      </w:r>
      <w:r w:rsidR="00BF33A0" w:rsidRPr="00BF33A0">
        <w:rPr>
          <w:rFonts w:cstheme="majorHAnsi"/>
        </w:rPr>
        <w:t xml:space="preserve"> energy efficiency upgrades; shift</w:t>
      </w:r>
      <w:r w:rsidR="002B4F59">
        <w:rPr>
          <w:rFonts w:cstheme="majorHAnsi"/>
        </w:rPr>
        <w:t>s</w:t>
      </w:r>
      <w:r w:rsidR="00BF33A0" w:rsidRPr="00BF33A0">
        <w:rPr>
          <w:rFonts w:cstheme="majorHAnsi"/>
        </w:rPr>
        <w:t xml:space="preserve"> to lower carbon processes; fuel switching (</w:t>
      </w:r>
      <w:proofErr w:type="gramStart"/>
      <w:r w:rsidR="00BF33A0" w:rsidRPr="00BF33A0">
        <w:rPr>
          <w:rFonts w:cstheme="majorHAnsi"/>
        </w:rPr>
        <w:t>e.g.</w:t>
      </w:r>
      <w:proofErr w:type="gramEnd"/>
      <w:r w:rsidR="00BF33A0" w:rsidRPr="00BF33A0">
        <w:rPr>
          <w:rFonts w:cstheme="majorHAnsi"/>
        </w:rPr>
        <w:t xml:space="preserve"> </w:t>
      </w:r>
      <w:r w:rsidR="00E23BCC">
        <w:rPr>
          <w:rFonts w:cstheme="majorHAnsi"/>
        </w:rPr>
        <w:t>from fossil fuels to electricity</w:t>
      </w:r>
      <w:r w:rsidR="00BF33A0" w:rsidRPr="00BF33A0">
        <w:rPr>
          <w:rFonts w:cstheme="majorHAnsi"/>
        </w:rPr>
        <w:t>, hydrogen and biofuels); and carbon capture, use and storage.</w:t>
      </w:r>
      <w:r w:rsidR="00BF33A0">
        <w:rPr>
          <w:rFonts w:cstheme="majorHAnsi"/>
        </w:rPr>
        <w:t xml:space="preserve"> </w:t>
      </w:r>
      <w:r w:rsidR="00D443B0" w:rsidRPr="00D443B0">
        <w:t xml:space="preserve"> </w:t>
      </w:r>
      <w:r w:rsidR="00D443B0" w:rsidRPr="00D443B0">
        <w:rPr>
          <w:rFonts w:cstheme="majorHAnsi"/>
        </w:rPr>
        <w:t xml:space="preserve">Technologies would need to be effective and verifiable in their emissions reductions and </w:t>
      </w:r>
      <w:proofErr w:type="gramStart"/>
      <w:r w:rsidR="00D443B0" w:rsidRPr="00D443B0">
        <w:rPr>
          <w:rFonts w:cstheme="majorHAnsi"/>
        </w:rPr>
        <w:t>take into account</w:t>
      </w:r>
      <w:proofErr w:type="gramEnd"/>
      <w:r w:rsidR="00D443B0" w:rsidRPr="00D443B0">
        <w:rPr>
          <w:rFonts w:cstheme="majorHAnsi"/>
        </w:rPr>
        <w:t xml:space="preserve"> the </w:t>
      </w:r>
      <w:r w:rsidR="00D443B0">
        <w:rPr>
          <w:rFonts w:cstheme="majorHAnsi"/>
        </w:rPr>
        <w:t>Australia’s net</w:t>
      </w:r>
      <w:r w:rsidR="00D443B0" w:rsidRPr="00D443B0">
        <w:rPr>
          <w:rFonts w:cstheme="majorHAnsi"/>
        </w:rPr>
        <w:t xml:space="preserve"> zero target.</w:t>
      </w:r>
      <w:r w:rsidR="00D443B0">
        <w:rPr>
          <w:rFonts w:cstheme="majorHAnsi"/>
        </w:rPr>
        <w:t xml:space="preserve"> A range </w:t>
      </w:r>
      <w:r w:rsidR="00D443B0" w:rsidRPr="00D443B0">
        <w:rPr>
          <w:rFonts w:cstheme="majorHAnsi"/>
        </w:rPr>
        <w:t xml:space="preserve">clearly </w:t>
      </w:r>
      <w:proofErr w:type="gramStart"/>
      <w:r w:rsidR="00D443B0" w:rsidRPr="00D443B0">
        <w:rPr>
          <w:rFonts w:cstheme="majorHAnsi"/>
        </w:rPr>
        <w:t>defined</w:t>
      </w:r>
      <w:proofErr w:type="gramEnd"/>
      <w:r w:rsidR="00D443B0" w:rsidRPr="00D443B0">
        <w:rPr>
          <w:rFonts w:cstheme="majorHAnsi"/>
        </w:rPr>
        <w:t xml:space="preserve"> and publicly available </w:t>
      </w:r>
      <w:r w:rsidR="00D443B0">
        <w:rPr>
          <w:rFonts w:cstheme="majorHAnsi"/>
        </w:rPr>
        <w:t xml:space="preserve">eligibility </w:t>
      </w:r>
      <w:r w:rsidR="00D443B0" w:rsidRPr="00D443B0">
        <w:rPr>
          <w:rFonts w:cstheme="majorHAnsi"/>
        </w:rPr>
        <w:t>criteria</w:t>
      </w:r>
      <w:r w:rsidR="00D443B0">
        <w:rPr>
          <w:rFonts w:cstheme="majorHAnsi"/>
        </w:rPr>
        <w:t xml:space="preserve"> would then be used to select appropriate projects.</w:t>
      </w:r>
    </w:p>
    <w:p w14:paraId="3B54EC6F" w14:textId="06F859A9" w:rsidR="006E03C4" w:rsidRDefault="004C440B" w:rsidP="00F66B7E">
      <w:pPr>
        <w:spacing w:line="240" w:lineRule="auto"/>
        <w:rPr>
          <w:rFonts w:cstheme="majorHAnsi"/>
        </w:rPr>
      </w:pPr>
      <w:r>
        <w:rPr>
          <w:rFonts w:cstheme="majorHAnsi"/>
        </w:rPr>
        <w:t>Funding</w:t>
      </w:r>
      <w:r w:rsidR="001F5F35">
        <w:rPr>
          <w:rFonts w:cstheme="majorHAnsi"/>
        </w:rPr>
        <w:t xml:space="preserve"> through the STS</w:t>
      </w:r>
      <w:r>
        <w:rPr>
          <w:rFonts w:cstheme="majorHAnsi"/>
        </w:rPr>
        <w:t xml:space="preserve"> would </w:t>
      </w:r>
      <w:r w:rsidR="009D51B1">
        <w:rPr>
          <w:rFonts w:cstheme="majorHAnsi"/>
        </w:rPr>
        <w:t xml:space="preserve">reduce the capital costs for Safeguard facilities </w:t>
      </w:r>
      <w:r w:rsidR="002B4F59">
        <w:rPr>
          <w:rFonts w:cstheme="majorHAnsi"/>
        </w:rPr>
        <w:t>t</w:t>
      </w:r>
      <w:r w:rsidR="009D51B1">
        <w:rPr>
          <w:rFonts w:cstheme="majorHAnsi"/>
        </w:rPr>
        <w:t>o invest in new low emissions technologies</w:t>
      </w:r>
      <w:r w:rsidR="002B4F59">
        <w:rPr>
          <w:rFonts w:cstheme="majorHAnsi"/>
        </w:rPr>
        <w:t xml:space="preserve"> and fast track their adoption</w:t>
      </w:r>
      <w:r w:rsidR="009D51B1">
        <w:rPr>
          <w:rFonts w:cstheme="majorHAnsi"/>
        </w:rPr>
        <w:t xml:space="preserve">. By </w:t>
      </w:r>
      <w:r w:rsidR="001F5F35">
        <w:rPr>
          <w:rFonts w:cstheme="majorHAnsi"/>
        </w:rPr>
        <w:t>reducing Safeguard facilities’ covered emissions</w:t>
      </w:r>
      <w:r w:rsidR="009D51B1">
        <w:rPr>
          <w:rFonts w:cstheme="majorHAnsi"/>
        </w:rPr>
        <w:t xml:space="preserve">, the STS can reduce the ongoing cost for </w:t>
      </w:r>
      <w:r w:rsidR="00C8307E">
        <w:rPr>
          <w:rFonts w:cstheme="majorHAnsi"/>
        </w:rPr>
        <w:t>trade</w:t>
      </w:r>
      <w:r w:rsidR="005B7249">
        <w:rPr>
          <w:rFonts w:cstheme="majorHAnsi"/>
        </w:rPr>
        <w:t>-</w:t>
      </w:r>
      <w:r w:rsidR="00C8307E">
        <w:rPr>
          <w:rFonts w:cstheme="majorHAnsi"/>
        </w:rPr>
        <w:t xml:space="preserve">exposed </w:t>
      </w:r>
      <w:r w:rsidR="009D51B1">
        <w:rPr>
          <w:rFonts w:cstheme="majorHAnsi"/>
        </w:rPr>
        <w:t xml:space="preserve">facilities to meet their </w:t>
      </w:r>
      <w:r w:rsidR="002B4F59">
        <w:rPr>
          <w:rFonts w:cstheme="majorHAnsi"/>
        </w:rPr>
        <w:t xml:space="preserve">falling </w:t>
      </w:r>
      <w:r w:rsidR="009D51B1">
        <w:rPr>
          <w:rFonts w:cstheme="majorHAnsi"/>
        </w:rPr>
        <w:t>baselines.</w:t>
      </w:r>
    </w:p>
    <w:p w14:paraId="74DE5EA7" w14:textId="48F0EAB2" w:rsidR="00722A11" w:rsidRDefault="003D36D5" w:rsidP="003D36D5">
      <w:pPr>
        <w:pStyle w:val="CABNETParagraph"/>
        <w:rPr>
          <w:rFonts w:asciiTheme="majorHAnsi" w:hAnsiTheme="majorHAnsi" w:cstheme="majorHAnsi"/>
        </w:rPr>
      </w:pPr>
      <w:r w:rsidRPr="00136C72">
        <w:rPr>
          <w:rFonts w:asciiTheme="majorHAnsi" w:hAnsiTheme="majorHAnsi" w:cstheme="majorHAnsi"/>
        </w:rPr>
        <w:t xml:space="preserve">Under the proposed design of the Safeguard Mechanism reforms, </w:t>
      </w:r>
      <w:r w:rsidR="00AB4BFE">
        <w:rPr>
          <w:rFonts w:asciiTheme="majorHAnsi" w:hAnsiTheme="majorHAnsi" w:cstheme="majorHAnsi"/>
        </w:rPr>
        <w:t>two</w:t>
      </w:r>
      <w:r w:rsidR="00AB4BFE" w:rsidRPr="00136C72">
        <w:rPr>
          <w:rFonts w:asciiTheme="majorHAnsi" w:hAnsiTheme="majorHAnsi" w:cstheme="majorHAnsi"/>
        </w:rPr>
        <w:t xml:space="preserve"> </w:t>
      </w:r>
      <w:r w:rsidRPr="00503F2F">
        <w:rPr>
          <w:rFonts w:asciiTheme="majorHAnsi" w:hAnsiTheme="majorHAnsi" w:cstheme="majorHAnsi"/>
        </w:rPr>
        <w:t xml:space="preserve">categories of facilities </w:t>
      </w:r>
      <w:r>
        <w:rPr>
          <w:rFonts w:asciiTheme="majorHAnsi" w:hAnsiTheme="majorHAnsi" w:cstheme="majorHAnsi"/>
        </w:rPr>
        <w:t>w</w:t>
      </w:r>
      <w:r w:rsidR="00FA414D">
        <w:rPr>
          <w:rFonts w:asciiTheme="majorHAnsi" w:hAnsiTheme="majorHAnsi" w:cstheme="majorHAnsi"/>
        </w:rPr>
        <w:t>ill</w:t>
      </w:r>
      <w:r>
        <w:rPr>
          <w:rFonts w:asciiTheme="majorHAnsi" w:hAnsiTheme="majorHAnsi" w:cstheme="majorHAnsi"/>
        </w:rPr>
        <w:t xml:space="preserve"> be</w:t>
      </w:r>
      <w:r w:rsidRPr="00136C72">
        <w:rPr>
          <w:rFonts w:asciiTheme="majorHAnsi" w:hAnsiTheme="majorHAnsi" w:cstheme="majorHAnsi"/>
        </w:rPr>
        <w:t xml:space="preserve"> e</w:t>
      </w:r>
      <w:r w:rsidR="001F5F35">
        <w:rPr>
          <w:rFonts w:asciiTheme="majorHAnsi" w:hAnsiTheme="majorHAnsi" w:cstheme="majorHAnsi"/>
        </w:rPr>
        <w:t>ligible for</w:t>
      </w:r>
      <w:r w:rsidRPr="00136C72">
        <w:rPr>
          <w:rFonts w:asciiTheme="majorHAnsi" w:hAnsiTheme="majorHAnsi" w:cstheme="majorHAnsi"/>
        </w:rPr>
        <w:t xml:space="preserve"> tailored treatment to manage competitiveness and carbon leakage risks</w:t>
      </w:r>
      <w:r w:rsidR="00570C20">
        <w:rPr>
          <w:rFonts w:asciiTheme="majorHAnsi" w:hAnsiTheme="majorHAnsi" w:cstheme="majorHAnsi"/>
        </w:rPr>
        <w:t>:</w:t>
      </w:r>
    </w:p>
    <w:p w14:paraId="5D4C0B87" w14:textId="1963BB3E" w:rsidR="00722A11" w:rsidRDefault="003D36D5" w:rsidP="00722A11">
      <w:pPr>
        <w:pStyle w:val="CABNETParagraph"/>
        <w:numPr>
          <w:ilvl w:val="0"/>
          <w:numId w:val="49"/>
        </w:numPr>
        <w:rPr>
          <w:rFonts w:asciiTheme="majorHAnsi" w:hAnsiTheme="majorHAnsi" w:cstheme="majorHAnsi"/>
        </w:rPr>
      </w:pPr>
      <w:r w:rsidRPr="008F23B2">
        <w:rPr>
          <w:rFonts w:asciiTheme="majorHAnsi" w:hAnsiTheme="majorHAnsi" w:cstheme="majorHAnsi"/>
          <w:iCs/>
        </w:rPr>
        <w:lastRenderedPageBreak/>
        <w:t>Trade</w:t>
      </w:r>
      <w:r w:rsidR="005B7249" w:rsidRPr="008F23B2">
        <w:rPr>
          <w:rFonts w:asciiTheme="majorHAnsi" w:hAnsiTheme="majorHAnsi" w:cstheme="majorHAnsi"/>
          <w:iCs/>
        </w:rPr>
        <w:t>-</w:t>
      </w:r>
      <w:r w:rsidRPr="008F23B2">
        <w:rPr>
          <w:rFonts w:asciiTheme="majorHAnsi" w:hAnsiTheme="majorHAnsi" w:cstheme="majorHAnsi"/>
          <w:iCs/>
        </w:rPr>
        <w:t>Exposed</w:t>
      </w:r>
      <w:r w:rsidRPr="00136C72">
        <w:rPr>
          <w:rFonts w:asciiTheme="majorHAnsi" w:hAnsiTheme="majorHAnsi" w:cstheme="majorHAnsi"/>
        </w:rPr>
        <w:t xml:space="preserve"> facilities</w:t>
      </w:r>
      <w:r w:rsidR="00570C20">
        <w:rPr>
          <w:rFonts w:asciiTheme="majorHAnsi" w:hAnsiTheme="majorHAnsi" w:cstheme="majorHAnsi"/>
        </w:rPr>
        <w:t>:</w:t>
      </w:r>
      <w:r w:rsidRPr="00136C72">
        <w:rPr>
          <w:rFonts w:asciiTheme="majorHAnsi" w:hAnsiTheme="majorHAnsi" w:cstheme="majorHAnsi"/>
        </w:rPr>
        <w:t xml:space="preserve"> </w:t>
      </w:r>
      <w:r w:rsidR="00570C20">
        <w:rPr>
          <w:rFonts w:asciiTheme="majorHAnsi" w:hAnsiTheme="majorHAnsi" w:cstheme="majorHAnsi"/>
        </w:rPr>
        <w:t>A</w:t>
      </w:r>
      <w:r w:rsidRPr="00136C72">
        <w:rPr>
          <w:rFonts w:asciiTheme="majorHAnsi" w:hAnsiTheme="majorHAnsi" w:cstheme="majorHAnsi"/>
        </w:rPr>
        <w:t xml:space="preserve">ll those </w:t>
      </w:r>
      <w:r w:rsidR="00570C20">
        <w:rPr>
          <w:rFonts w:asciiTheme="majorHAnsi" w:hAnsiTheme="majorHAnsi" w:cstheme="majorHAnsi"/>
        </w:rPr>
        <w:t xml:space="preserve">facilities </w:t>
      </w:r>
      <w:r w:rsidRPr="00136C72">
        <w:rPr>
          <w:rFonts w:asciiTheme="majorHAnsi" w:hAnsiTheme="majorHAnsi" w:cstheme="majorHAnsi"/>
        </w:rPr>
        <w:t>undertaking a trade-exposed activity</w:t>
      </w:r>
      <w:r w:rsidR="00570C20">
        <w:rPr>
          <w:rFonts w:asciiTheme="majorHAnsi" w:hAnsiTheme="majorHAnsi" w:cstheme="majorHAnsi"/>
        </w:rPr>
        <w:t>.</w:t>
      </w:r>
    </w:p>
    <w:p w14:paraId="7A298952" w14:textId="19DC6560" w:rsidR="00722A11" w:rsidRDefault="003D36D5" w:rsidP="00722A11">
      <w:pPr>
        <w:pStyle w:val="CABNETParagraph"/>
        <w:numPr>
          <w:ilvl w:val="0"/>
          <w:numId w:val="49"/>
        </w:numPr>
        <w:rPr>
          <w:rFonts w:asciiTheme="majorHAnsi" w:hAnsiTheme="majorHAnsi" w:cstheme="majorHAnsi"/>
        </w:rPr>
      </w:pPr>
      <w:r w:rsidRPr="008F23B2">
        <w:rPr>
          <w:rFonts w:asciiTheme="majorHAnsi" w:hAnsiTheme="majorHAnsi" w:cstheme="majorHAnsi"/>
          <w:iCs/>
        </w:rPr>
        <w:t>Trade</w:t>
      </w:r>
      <w:r w:rsidR="005B7249" w:rsidRPr="008F23B2">
        <w:rPr>
          <w:rFonts w:asciiTheme="majorHAnsi" w:hAnsiTheme="majorHAnsi" w:cstheme="majorHAnsi"/>
          <w:iCs/>
        </w:rPr>
        <w:t>-</w:t>
      </w:r>
      <w:r w:rsidRPr="008F23B2">
        <w:rPr>
          <w:rFonts w:asciiTheme="majorHAnsi" w:hAnsiTheme="majorHAnsi" w:cstheme="majorHAnsi"/>
          <w:iCs/>
        </w:rPr>
        <w:t>Exposed Baseline Adjusted</w:t>
      </w:r>
      <w:r w:rsidRPr="00136C72">
        <w:rPr>
          <w:rFonts w:asciiTheme="majorHAnsi" w:hAnsiTheme="majorHAnsi" w:cstheme="majorHAnsi"/>
        </w:rPr>
        <w:t xml:space="preserve"> facilities</w:t>
      </w:r>
      <w:r w:rsidR="00570C20">
        <w:rPr>
          <w:rFonts w:asciiTheme="majorHAnsi" w:hAnsiTheme="majorHAnsi" w:cstheme="majorHAnsi"/>
        </w:rPr>
        <w:t>:</w:t>
      </w:r>
      <w:r w:rsidRPr="00136C72">
        <w:rPr>
          <w:rFonts w:asciiTheme="majorHAnsi" w:hAnsiTheme="majorHAnsi" w:cstheme="majorHAnsi"/>
        </w:rPr>
        <w:t xml:space="preserve"> </w:t>
      </w:r>
      <w:r w:rsidR="00570C20">
        <w:rPr>
          <w:rFonts w:asciiTheme="majorHAnsi" w:hAnsiTheme="majorHAnsi" w:cstheme="majorHAnsi"/>
        </w:rPr>
        <w:t>T</w:t>
      </w:r>
      <w:r w:rsidRPr="00136C72">
        <w:rPr>
          <w:rFonts w:asciiTheme="majorHAnsi" w:hAnsiTheme="majorHAnsi" w:cstheme="majorHAnsi"/>
        </w:rPr>
        <w:t xml:space="preserve">he subset </w:t>
      </w:r>
      <w:r w:rsidR="00570C20">
        <w:rPr>
          <w:rFonts w:asciiTheme="majorHAnsi" w:hAnsiTheme="majorHAnsi" w:cstheme="majorHAnsi"/>
        </w:rPr>
        <w:t xml:space="preserve">of Trade–Exposed facilities </w:t>
      </w:r>
      <w:r w:rsidRPr="00136C72">
        <w:rPr>
          <w:rFonts w:asciiTheme="majorHAnsi" w:hAnsiTheme="majorHAnsi" w:cstheme="majorHAnsi"/>
        </w:rPr>
        <w:t xml:space="preserve">that face </w:t>
      </w:r>
      <w:r w:rsidR="002344A1">
        <w:rPr>
          <w:rFonts w:asciiTheme="majorHAnsi" w:hAnsiTheme="majorHAnsi" w:cstheme="majorHAnsi"/>
        </w:rPr>
        <w:t>an increased risk of carbon leakage</w:t>
      </w:r>
      <w:r w:rsidRPr="00136C72">
        <w:rPr>
          <w:rFonts w:asciiTheme="majorHAnsi" w:hAnsiTheme="majorHAnsi" w:cstheme="majorHAnsi"/>
        </w:rPr>
        <w:t xml:space="preserve">. </w:t>
      </w:r>
    </w:p>
    <w:p w14:paraId="2E6893F8" w14:textId="452E1B7F" w:rsidR="00365EDD" w:rsidRPr="00136C72" w:rsidRDefault="003D36D5" w:rsidP="00365EDD">
      <w:pPr>
        <w:pStyle w:val="CABNETParagrap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Both </w:t>
      </w:r>
      <w:r w:rsidR="004C440B">
        <w:rPr>
          <w:rFonts w:asciiTheme="majorHAnsi" w:hAnsiTheme="majorHAnsi" w:cstheme="majorHAnsi"/>
        </w:rPr>
        <w:t xml:space="preserve">would </w:t>
      </w:r>
      <w:r>
        <w:rPr>
          <w:rFonts w:asciiTheme="majorHAnsi" w:hAnsiTheme="majorHAnsi" w:cstheme="majorHAnsi"/>
        </w:rPr>
        <w:t xml:space="preserve">be eligible to apply for </w:t>
      </w:r>
      <w:r w:rsidR="002344A1">
        <w:rPr>
          <w:rFonts w:asciiTheme="majorHAnsi" w:hAnsiTheme="majorHAnsi" w:cstheme="majorHAnsi"/>
        </w:rPr>
        <w:t xml:space="preserve">the </w:t>
      </w:r>
      <w:r>
        <w:rPr>
          <w:rFonts w:asciiTheme="majorHAnsi" w:hAnsiTheme="majorHAnsi" w:cstheme="majorHAnsi"/>
        </w:rPr>
        <w:t>STS</w:t>
      </w:r>
      <w:r w:rsidR="00E3702C">
        <w:rPr>
          <w:rFonts w:asciiTheme="majorHAnsi" w:hAnsiTheme="majorHAnsi" w:cstheme="majorHAnsi"/>
        </w:rPr>
        <w:t>, which is</w:t>
      </w:r>
      <w:r w:rsidR="00C46FF5">
        <w:rPr>
          <w:rFonts w:asciiTheme="majorHAnsi" w:hAnsiTheme="majorHAnsi" w:cstheme="majorHAnsi"/>
        </w:rPr>
        <w:t xml:space="preserve"> expected to</w:t>
      </w:r>
      <w:r w:rsidR="00365EDD" w:rsidRPr="00136C72">
        <w:rPr>
          <w:rFonts w:asciiTheme="majorHAnsi" w:hAnsiTheme="majorHAnsi" w:cstheme="majorHAnsi"/>
        </w:rPr>
        <w:t xml:space="preserve"> be open </w:t>
      </w:r>
      <w:r w:rsidR="00C46FF5">
        <w:rPr>
          <w:rFonts w:asciiTheme="majorHAnsi" w:hAnsiTheme="majorHAnsi" w:cstheme="majorHAnsi"/>
        </w:rPr>
        <w:t>for</w:t>
      </w:r>
      <w:r w:rsidR="00365EDD" w:rsidRPr="00136C72">
        <w:rPr>
          <w:rFonts w:asciiTheme="majorHAnsi" w:hAnsiTheme="majorHAnsi" w:cstheme="majorHAnsi"/>
        </w:rPr>
        <w:t xml:space="preserve"> applications after 1 July 2023</w:t>
      </w:r>
      <w:r w:rsidR="009D51B1">
        <w:rPr>
          <w:rFonts w:asciiTheme="majorHAnsi" w:hAnsiTheme="majorHAnsi" w:cstheme="majorHAnsi"/>
        </w:rPr>
        <w:t>.</w:t>
      </w:r>
    </w:p>
    <w:p w14:paraId="7D016216" w14:textId="14E1B613" w:rsidR="00382610" w:rsidRPr="00F12E63" w:rsidRDefault="00722B6D" w:rsidP="00D65AC6">
      <w:pPr>
        <w:pStyle w:val="CABNETParagraph"/>
        <w:keepNext/>
        <w:rPr>
          <w:rFonts w:asciiTheme="majorHAnsi" w:hAnsiTheme="majorHAnsi" w:cstheme="majorHAnsi"/>
          <w:b/>
          <w:color w:val="197C7D" w:themeColor="text2"/>
          <w:sz w:val="28"/>
          <w:szCs w:val="28"/>
        </w:rPr>
      </w:pPr>
      <w:r>
        <w:rPr>
          <w:rFonts w:asciiTheme="majorHAnsi" w:hAnsiTheme="majorHAnsi" w:cstheme="majorHAnsi"/>
          <w:b/>
          <w:color w:val="197C7D" w:themeColor="text2"/>
          <w:sz w:val="28"/>
          <w:szCs w:val="28"/>
        </w:rPr>
        <w:t xml:space="preserve">The STS will work alongside other </w:t>
      </w:r>
      <w:r w:rsidR="00C46FF5">
        <w:rPr>
          <w:rFonts w:asciiTheme="majorHAnsi" w:hAnsiTheme="majorHAnsi" w:cstheme="majorHAnsi"/>
          <w:b/>
          <w:color w:val="197C7D" w:themeColor="text2"/>
          <w:sz w:val="28"/>
          <w:szCs w:val="28"/>
        </w:rPr>
        <w:t>g</w:t>
      </w:r>
      <w:r>
        <w:rPr>
          <w:rFonts w:asciiTheme="majorHAnsi" w:hAnsiTheme="majorHAnsi" w:cstheme="majorHAnsi"/>
          <w:b/>
          <w:color w:val="197C7D" w:themeColor="text2"/>
          <w:sz w:val="28"/>
          <w:szCs w:val="28"/>
        </w:rPr>
        <w:t xml:space="preserve">overnment </w:t>
      </w:r>
      <w:r w:rsidR="00722A11">
        <w:rPr>
          <w:rFonts w:asciiTheme="majorHAnsi" w:hAnsiTheme="majorHAnsi" w:cstheme="majorHAnsi"/>
          <w:b/>
          <w:color w:val="197C7D" w:themeColor="text2"/>
          <w:sz w:val="28"/>
          <w:szCs w:val="28"/>
        </w:rPr>
        <w:t>support</w:t>
      </w:r>
      <w:r w:rsidR="001E7B6D">
        <w:rPr>
          <w:rFonts w:asciiTheme="majorHAnsi" w:hAnsiTheme="majorHAnsi" w:cstheme="majorHAnsi"/>
          <w:b/>
          <w:color w:val="197C7D" w:themeColor="text2"/>
          <w:sz w:val="28"/>
          <w:szCs w:val="28"/>
        </w:rPr>
        <w:t xml:space="preserve"> </w:t>
      </w:r>
      <w:r>
        <w:rPr>
          <w:rFonts w:asciiTheme="majorHAnsi" w:hAnsiTheme="majorHAnsi" w:cstheme="majorHAnsi"/>
          <w:b/>
          <w:color w:val="197C7D" w:themeColor="text2"/>
          <w:sz w:val="28"/>
          <w:szCs w:val="28"/>
        </w:rPr>
        <w:t>to decarbonise industry</w:t>
      </w:r>
    </w:p>
    <w:p w14:paraId="391CF3C2" w14:textId="11EB33BB" w:rsidR="00C8307E" w:rsidRDefault="00722A11" w:rsidP="00CB430F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t>The decarbonisation of industry under the Safeguard Mechanism and PRF will also help unlock emerging markets for green pr</w:t>
      </w:r>
      <w:r w:rsidR="00100CF6">
        <w:rPr>
          <w:rFonts w:asciiTheme="minorHAnsi" w:hAnsiTheme="minorHAnsi"/>
        </w:rPr>
        <w:t>oducts</w:t>
      </w:r>
      <w:r>
        <w:rPr>
          <w:rFonts w:asciiTheme="minorHAnsi" w:hAnsiTheme="minorHAnsi"/>
        </w:rPr>
        <w:t xml:space="preserve"> and support Australia’s t</w:t>
      </w:r>
      <w:r w:rsidR="009A7172">
        <w:rPr>
          <w:rFonts w:asciiTheme="minorHAnsi" w:hAnsiTheme="minorHAnsi"/>
        </w:rPr>
        <w:t>r</w:t>
      </w:r>
      <w:r>
        <w:rPr>
          <w:rFonts w:asciiTheme="minorHAnsi" w:hAnsiTheme="minorHAnsi"/>
        </w:rPr>
        <w:t>ansformation into a renewable energy superpower.</w:t>
      </w:r>
      <w:r w:rsidR="00100CF6">
        <w:rPr>
          <w:rFonts w:asciiTheme="minorHAnsi" w:hAnsiTheme="minorHAnsi"/>
        </w:rPr>
        <w:t xml:space="preserve"> </w:t>
      </w:r>
      <w:r w:rsidR="00722B6D">
        <w:rPr>
          <w:rFonts w:asciiTheme="minorHAnsi" w:hAnsiTheme="minorHAnsi"/>
        </w:rPr>
        <w:t xml:space="preserve">The Safeguard Mechanism and </w:t>
      </w:r>
      <w:r w:rsidR="00C46FF5">
        <w:rPr>
          <w:rFonts w:asciiTheme="minorHAnsi" w:hAnsiTheme="minorHAnsi"/>
        </w:rPr>
        <w:t>PRF</w:t>
      </w:r>
      <w:r w:rsidR="00722B6D">
        <w:rPr>
          <w:rFonts w:asciiTheme="minorHAnsi" w:hAnsiTheme="minorHAnsi"/>
        </w:rPr>
        <w:t xml:space="preserve"> are part of the </w:t>
      </w:r>
      <w:r w:rsidR="00C46FF5">
        <w:rPr>
          <w:rFonts w:asciiTheme="minorHAnsi" w:hAnsiTheme="minorHAnsi"/>
        </w:rPr>
        <w:t>g</w:t>
      </w:r>
      <w:r w:rsidR="00722B6D">
        <w:rPr>
          <w:rFonts w:asciiTheme="minorHAnsi" w:hAnsiTheme="minorHAnsi"/>
        </w:rPr>
        <w:t>overnment’s plan to deliver on this vision.</w:t>
      </w:r>
    </w:p>
    <w:p w14:paraId="26C0266E" w14:textId="2303648B" w:rsidR="00DE03E4" w:rsidRDefault="00722B6D" w:rsidP="00CB430F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t>While the STS is focused on trade</w:t>
      </w:r>
      <w:r w:rsidR="005B7249">
        <w:rPr>
          <w:rFonts w:asciiTheme="minorHAnsi" w:hAnsiTheme="minorHAnsi"/>
        </w:rPr>
        <w:t>-</w:t>
      </w:r>
      <w:r>
        <w:rPr>
          <w:rFonts w:asciiTheme="minorHAnsi" w:hAnsiTheme="minorHAnsi"/>
        </w:rPr>
        <w:t>exposed facilities,</w:t>
      </w:r>
      <w:r w:rsidR="00EA0F8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</w:t>
      </w:r>
      <w:r w:rsidR="00CB430F" w:rsidRPr="00F853CF">
        <w:rPr>
          <w:rFonts w:asciiTheme="minorHAnsi" w:hAnsiTheme="minorHAnsi"/>
        </w:rPr>
        <w:t>ll</w:t>
      </w:r>
      <w:r w:rsidR="001E6D9E">
        <w:rPr>
          <w:rFonts w:asciiTheme="minorHAnsi" w:hAnsiTheme="minorHAnsi"/>
        </w:rPr>
        <w:t xml:space="preserve"> eligible</w:t>
      </w:r>
      <w:r w:rsidR="00CB430F" w:rsidRPr="00F853CF">
        <w:rPr>
          <w:rFonts w:asciiTheme="minorHAnsi" w:hAnsiTheme="minorHAnsi"/>
        </w:rPr>
        <w:t xml:space="preserve"> Safeguard-covered facilities </w:t>
      </w:r>
      <w:r>
        <w:rPr>
          <w:rFonts w:asciiTheme="minorHAnsi" w:hAnsiTheme="minorHAnsi"/>
        </w:rPr>
        <w:t>will be able</w:t>
      </w:r>
      <w:r w:rsidR="00CB430F" w:rsidRPr="00F853CF">
        <w:rPr>
          <w:rFonts w:asciiTheme="minorHAnsi" w:hAnsiTheme="minorHAnsi"/>
        </w:rPr>
        <w:t xml:space="preserve"> to apply for </w:t>
      </w:r>
      <w:r w:rsidR="0046183B">
        <w:rPr>
          <w:rFonts w:asciiTheme="minorHAnsi" w:hAnsiTheme="minorHAnsi"/>
        </w:rPr>
        <w:t xml:space="preserve">the </w:t>
      </w:r>
      <w:r w:rsidR="00CB430F" w:rsidRPr="00F853CF">
        <w:rPr>
          <w:rFonts w:asciiTheme="minorHAnsi" w:hAnsiTheme="minorHAnsi"/>
        </w:rPr>
        <w:t xml:space="preserve">other </w:t>
      </w:r>
      <w:r w:rsidR="00CB430F">
        <w:rPr>
          <w:rFonts w:asciiTheme="minorHAnsi" w:hAnsiTheme="minorHAnsi"/>
        </w:rPr>
        <w:t xml:space="preserve">streams of the </w:t>
      </w:r>
      <w:r w:rsidR="00CB430F" w:rsidRPr="00F853CF">
        <w:rPr>
          <w:rFonts w:asciiTheme="minorHAnsi" w:hAnsiTheme="minorHAnsi"/>
        </w:rPr>
        <w:t>PRF</w:t>
      </w:r>
      <w:r w:rsidR="00CB430F">
        <w:rPr>
          <w:rFonts w:asciiTheme="minorHAnsi" w:hAnsiTheme="minorHAnsi"/>
        </w:rPr>
        <w:t>,</w:t>
      </w:r>
      <w:r w:rsidR="005278BF">
        <w:rPr>
          <w:rFonts w:asciiTheme="minorHAnsi" w:hAnsiTheme="minorHAnsi"/>
        </w:rPr>
        <w:t xml:space="preserve"> including the I</w:t>
      </w:r>
      <w:r w:rsidR="001E7B6D">
        <w:rPr>
          <w:rFonts w:asciiTheme="minorHAnsi" w:hAnsiTheme="minorHAnsi"/>
        </w:rPr>
        <w:t xml:space="preserve">ndustry </w:t>
      </w:r>
      <w:r w:rsidR="005278BF">
        <w:rPr>
          <w:rFonts w:asciiTheme="minorHAnsi" w:hAnsiTheme="minorHAnsi"/>
        </w:rPr>
        <w:t>D</w:t>
      </w:r>
      <w:r w:rsidR="001E7B6D">
        <w:rPr>
          <w:rFonts w:asciiTheme="minorHAnsi" w:hAnsiTheme="minorHAnsi"/>
        </w:rPr>
        <w:t xml:space="preserve">ecarbonisation </w:t>
      </w:r>
      <w:r w:rsidR="005278BF">
        <w:rPr>
          <w:rFonts w:asciiTheme="minorHAnsi" w:hAnsiTheme="minorHAnsi"/>
        </w:rPr>
        <w:t>S</w:t>
      </w:r>
      <w:r w:rsidR="001E7B6D">
        <w:rPr>
          <w:rFonts w:asciiTheme="minorHAnsi" w:hAnsiTheme="minorHAnsi"/>
        </w:rPr>
        <w:t>tream</w:t>
      </w:r>
      <w:r>
        <w:rPr>
          <w:rFonts w:asciiTheme="minorHAnsi" w:hAnsiTheme="minorHAnsi"/>
        </w:rPr>
        <w:t>.</w:t>
      </w:r>
      <w:r w:rsidR="00CB430F">
        <w:rPr>
          <w:rFonts w:asciiTheme="minorHAnsi" w:hAnsiTheme="minorHAnsi"/>
        </w:rPr>
        <w:t xml:space="preserve"> </w:t>
      </w:r>
      <w:r w:rsidR="005278BF" w:rsidRPr="00F853CF">
        <w:rPr>
          <w:rFonts w:asciiTheme="minorHAnsi" w:hAnsiTheme="minorHAnsi"/>
        </w:rPr>
        <w:t>Safeguard</w:t>
      </w:r>
      <w:r w:rsidR="00100CF6">
        <w:rPr>
          <w:rFonts w:asciiTheme="minorHAnsi" w:hAnsiTheme="minorHAnsi"/>
        </w:rPr>
        <w:t xml:space="preserve"> </w:t>
      </w:r>
      <w:r w:rsidR="005278BF" w:rsidRPr="00F853CF">
        <w:rPr>
          <w:rFonts w:asciiTheme="minorHAnsi" w:hAnsiTheme="minorHAnsi"/>
        </w:rPr>
        <w:t xml:space="preserve">covered facilities </w:t>
      </w:r>
      <w:r w:rsidR="00C87060">
        <w:rPr>
          <w:rFonts w:asciiTheme="minorHAnsi" w:hAnsiTheme="minorHAnsi"/>
        </w:rPr>
        <w:t>will also receive preferential access where</w:t>
      </w:r>
      <w:r w:rsidR="002A7EFC">
        <w:rPr>
          <w:rFonts w:asciiTheme="minorHAnsi" w:hAnsiTheme="minorHAnsi"/>
        </w:rPr>
        <w:t>ver</w:t>
      </w:r>
      <w:r w:rsidR="00C87060">
        <w:rPr>
          <w:rFonts w:asciiTheme="minorHAnsi" w:hAnsiTheme="minorHAnsi"/>
        </w:rPr>
        <w:t xml:space="preserve"> relevant. </w:t>
      </w:r>
    </w:p>
    <w:p w14:paraId="3FF5FD24" w14:textId="13307859" w:rsidR="004C3EC0" w:rsidRDefault="005C7367" w:rsidP="005C7367">
      <w:pPr>
        <w:spacing w:after="160" w:line="259" w:lineRule="auto"/>
        <w:rPr>
          <w:rFonts w:cstheme="majorHAnsi"/>
        </w:rPr>
      </w:pPr>
      <w:r>
        <w:rPr>
          <w:rFonts w:asciiTheme="minorHAnsi" w:hAnsiTheme="minorHAnsi"/>
        </w:rPr>
        <w:t xml:space="preserve">Safeguard facilities will continue to have access to other sources of funding and finance, such as the </w:t>
      </w:r>
      <w:r w:rsidRPr="00136C72">
        <w:rPr>
          <w:rFonts w:cstheme="majorHAnsi"/>
        </w:rPr>
        <w:t>Australian Renewable Energy Agency</w:t>
      </w:r>
      <w:r>
        <w:rPr>
          <w:rFonts w:cstheme="majorHAnsi"/>
        </w:rPr>
        <w:t xml:space="preserve"> (ARENA) and the </w:t>
      </w:r>
      <w:r w:rsidRPr="0038181B">
        <w:rPr>
          <w:rFonts w:cstheme="majorHAnsi"/>
        </w:rPr>
        <w:t>Clean Energy Finance Corporation</w:t>
      </w:r>
      <w:r>
        <w:rPr>
          <w:rFonts w:cstheme="majorHAnsi"/>
        </w:rPr>
        <w:t xml:space="preserve"> (</w:t>
      </w:r>
      <w:r w:rsidRPr="00CB430F">
        <w:rPr>
          <w:rFonts w:cstheme="majorHAnsi"/>
        </w:rPr>
        <w:t>CEFC</w:t>
      </w:r>
      <w:r>
        <w:rPr>
          <w:rFonts w:cstheme="majorHAnsi"/>
        </w:rPr>
        <w:t xml:space="preserve">). </w:t>
      </w:r>
      <w:r w:rsidR="00C46FF5">
        <w:rPr>
          <w:rFonts w:cstheme="majorHAnsi"/>
        </w:rPr>
        <w:t>Up to</w:t>
      </w:r>
      <w:r>
        <w:rPr>
          <w:rFonts w:cstheme="majorHAnsi"/>
        </w:rPr>
        <w:t xml:space="preserve"> </w:t>
      </w:r>
      <w:r w:rsidR="00C46FF5">
        <w:rPr>
          <w:rFonts w:cstheme="majorHAnsi"/>
        </w:rPr>
        <w:t xml:space="preserve">$3 billion of the </w:t>
      </w:r>
      <w:r>
        <w:rPr>
          <w:rFonts w:cstheme="majorHAnsi"/>
        </w:rPr>
        <w:t xml:space="preserve">$15 billion </w:t>
      </w:r>
      <w:hyperlink r:id="rId13" w:history="1">
        <w:r w:rsidR="00C46FF5">
          <w:rPr>
            <w:rStyle w:val="Hyperlink"/>
            <w:rFonts w:cstheme="majorHAnsi"/>
          </w:rPr>
          <w:t>National Reconstruction Fund</w:t>
        </w:r>
      </w:hyperlink>
      <w:r w:rsidR="00C46FF5">
        <w:rPr>
          <w:rFonts w:cstheme="majorHAnsi"/>
        </w:rPr>
        <w:t xml:space="preserve"> being established by the government will also</w:t>
      </w:r>
      <w:r w:rsidR="00F76921">
        <w:rPr>
          <w:rFonts w:cstheme="majorHAnsi"/>
        </w:rPr>
        <w:t xml:space="preserve"> be dedicated to</w:t>
      </w:r>
      <w:r w:rsidR="00740145">
        <w:rPr>
          <w:rFonts w:cstheme="majorHAnsi"/>
        </w:rPr>
        <w:t xml:space="preserve"> renewables and low emissions technologies</w:t>
      </w:r>
      <w:r>
        <w:rPr>
          <w:rFonts w:cstheme="majorHAnsi"/>
        </w:rPr>
        <w:t>.</w:t>
      </w:r>
    </w:p>
    <w:p w14:paraId="1EF4703C" w14:textId="77777777" w:rsidR="00722A11" w:rsidRPr="00DE3FAA" w:rsidRDefault="00722A11" w:rsidP="00722A11">
      <w:pPr>
        <w:pStyle w:val="Heading2"/>
        <w:rPr>
          <w:b w:val="0"/>
          <w:bCs w:val="0"/>
          <w:color w:val="197C7D"/>
        </w:rPr>
      </w:pPr>
      <w:r w:rsidRPr="00DE3FAA">
        <w:rPr>
          <w:color w:val="197C7D"/>
        </w:rPr>
        <w:t>More information</w:t>
      </w:r>
    </w:p>
    <w:p w14:paraId="3AAC0C9F" w14:textId="07387B2F" w:rsidR="00F21AF4" w:rsidRDefault="00722A11" w:rsidP="00A30DC6">
      <w:r>
        <w:rPr>
          <w:lang w:eastAsia="ja-JP"/>
        </w:rPr>
        <w:t xml:space="preserve">Learn more </w:t>
      </w:r>
      <w:r w:rsidRPr="00DE6EB3">
        <w:rPr>
          <w:lang w:eastAsia="ja-JP"/>
        </w:rPr>
        <w:t xml:space="preserve">about </w:t>
      </w:r>
      <w:r w:rsidRPr="00DE6EB3">
        <w:t xml:space="preserve">the Safeguard Mechanism reforms at </w:t>
      </w:r>
      <w:hyperlink r:id="rId14" w:history="1">
        <w:r>
          <w:rPr>
            <w:rStyle w:val="Hyperlink"/>
            <w:b/>
            <w:bCs/>
          </w:rPr>
          <w:t>https://consult.industry.gov.au/safeguard-mechanism-reform-consultation-paper</w:t>
        </w:r>
      </w:hyperlink>
      <w:r w:rsidR="00503F2F">
        <w:rPr>
          <w:rStyle w:val="Hyperlink"/>
          <w:b/>
          <w:bCs/>
        </w:rPr>
        <w:t>.</w:t>
      </w:r>
    </w:p>
    <w:sectPr w:rsidR="00F21AF4" w:rsidSect="00B2506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8" w:right="1247" w:bottom="1134" w:left="1247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910BA" w14:textId="77777777" w:rsidR="000D3798" w:rsidRDefault="000D3798">
      <w:r>
        <w:separator/>
      </w:r>
    </w:p>
    <w:p w14:paraId="2F93746E" w14:textId="77777777" w:rsidR="000D3798" w:rsidRDefault="000D3798"/>
    <w:p w14:paraId="46E67707" w14:textId="77777777" w:rsidR="000D3798" w:rsidRDefault="000D3798"/>
  </w:endnote>
  <w:endnote w:type="continuationSeparator" w:id="0">
    <w:p w14:paraId="197C39E1" w14:textId="77777777" w:rsidR="000D3798" w:rsidRDefault="000D3798">
      <w:r>
        <w:continuationSeparator/>
      </w:r>
    </w:p>
    <w:p w14:paraId="4DC52D1A" w14:textId="77777777" w:rsidR="000D3798" w:rsidRDefault="000D3798"/>
    <w:p w14:paraId="20601969" w14:textId="77777777" w:rsidR="000D3798" w:rsidRDefault="000D3798"/>
  </w:endnote>
  <w:endnote w:type="continuationNotice" w:id="1">
    <w:p w14:paraId="34CCB78D" w14:textId="77777777" w:rsidR="000D3798" w:rsidRDefault="000D3798">
      <w:pPr>
        <w:pStyle w:val="Footer"/>
      </w:pPr>
    </w:p>
    <w:p w14:paraId="2CAA7012" w14:textId="77777777" w:rsidR="000D3798" w:rsidRDefault="000D3798"/>
    <w:p w14:paraId="219A1FD5" w14:textId="77777777" w:rsidR="000D3798" w:rsidRDefault="000D37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DA30D" w14:textId="77777777" w:rsidR="00391635" w:rsidRDefault="003916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FD756" w14:textId="77777777" w:rsidR="00527807" w:rsidRDefault="00527807" w:rsidP="000542B4">
    <w:pPr>
      <w:pStyle w:val="Footer"/>
    </w:pPr>
    <w:r>
      <w:t>Department of Climate Change, Energy, the Environment and Water</w:t>
    </w:r>
  </w:p>
  <w:p w14:paraId="0084E3ED" w14:textId="77777777" w:rsidR="00527807" w:rsidRDefault="00BE4273" w:rsidP="000542B4">
    <w:pPr>
      <w:pStyle w:val="Footer"/>
    </w:pPr>
    <w:sdt>
      <w:sdtPr>
        <w:id w:val="-15648761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27807">
          <w:fldChar w:fldCharType="begin"/>
        </w:r>
        <w:r w:rsidR="00527807">
          <w:instrText xml:space="preserve"> PAGE   \* MERGEFORMAT </w:instrText>
        </w:r>
        <w:r w:rsidR="00527807">
          <w:fldChar w:fldCharType="separate"/>
        </w:r>
        <w:r w:rsidR="00AB4BFE">
          <w:rPr>
            <w:noProof/>
          </w:rPr>
          <w:t>2</w:t>
        </w:r>
        <w:r w:rsidR="00527807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80400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D7254E" w14:textId="77777777" w:rsidR="00527807" w:rsidRDefault="00527807" w:rsidP="00EC4447">
        <w:pPr>
          <w:pStyle w:val="Footer"/>
        </w:pPr>
        <w:r w:rsidRPr="007B1F92">
          <w:t xml:space="preserve">Department of </w:t>
        </w:r>
        <w:r>
          <w:t>Climate Change, Energy, the Environment and Water</w:t>
        </w:r>
      </w:p>
      <w:p w14:paraId="61BEE645" w14:textId="77777777" w:rsidR="00527807" w:rsidRDefault="00527807" w:rsidP="00A77E8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4B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113F0" w14:textId="77777777" w:rsidR="000D3798" w:rsidRDefault="000D3798">
      <w:r>
        <w:separator/>
      </w:r>
    </w:p>
    <w:p w14:paraId="48F6B148" w14:textId="77777777" w:rsidR="000D3798" w:rsidRDefault="000D3798"/>
    <w:p w14:paraId="3AFC01DB" w14:textId="77777777" w:rsidR="000D3798" w:rsidRDefault="000D3798"/>
  </w:footnote>
  <w:footnote w:type="continuationSeparator" w:id="0">
    <w:p w14:paraId="5BB5197D" w14:textId="77777777" w:rsidR="000D3798" w:rsidRDefault="000D3798">
      <w:r>
        <w:continuationSeparator/>
      </w:r>
    </w:p>
    <w:p w14:paraId="4D9FA65A" w14:textId="77777777" w:rsidR="000D3798" w:rsidRDefault="000D3798"/>
    <w:p w14:paraId="00BDB1A7" w14:textId="77777777" w:rsidR="000D3798" w:rsidRDefault="000D3798"/>
  </w:footnote>
  <w:footnote w:type="continuationNotice" w:id="1">
    <w:p w14:paraId="3E8D444F" w14:textId="77777777" w:rsidR="000D3798" w:rsidRDefault="000D3798">
      <w:pPr>
        <w:pStyle w:val="Footer"/>
      </w:pPr>
    </w:p>
    <w:p w14:paraId="4C825943" w14:textId="77777777" w:rsidR="000D3798" w:rsidRDefault="000D3798"/>
    <w:p w14:paraId="3FA7374E" w14:textId="77777777" w:rsidR="000D3798" w:rsidRDefault="000D37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30D40" w14:textId="77777777" w:rsidR="00391635" w:rsidRDefault="003916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EEF56" w14:textId="77777777" w:rsidR="00527807" w:rsidRDefault="00527807">
    <w:pPr>
      <w:pStyle w:val="Header"/>
    </w:pPr>
    <w:r>
      <w:t>Safeguard Transformation Stream of the Powering the Regions Fund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1118" w14:textId="77777777" w:rsidR="00527807" w:rsidRDefault="00527807" w:rsidP="00036819">
    <w:pPr>
      <w:pStyle w:val="Footer"/>
      <w:jc w:val="left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7D0EE30E" wp14:editId="3F29813A">
          <wp:simplePos x="0" y="0"/>
          <wp:positionH relativeFrom="column">
            <wp:posOffset>-786765</wp:posOffset>
          </wp:positionH>
          <wp:positionV relativeFrom="page">
            <wp:posOffset>0</wp:posOffset>
          </wp:positionV>
          <wp:extent cx="7559675" cy="1633855"/>
          <wp:effectExtent l="0" t="0" r="3175" b="4445"/>
          <wp:wrapNone/>
          <wp:docPr id="1" name="Picture 1" descr="Department of Climate Change, Energy, the Environment and Wa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partment of Climate Change, Energy, the Environment and Wat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63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A275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EAC6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4228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CAB40A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A6C211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97FE7D78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FFFFFF88"/>
    <w:multiLevelType w:val="singleLevel"/>
    <w:tmpl w:val="8D486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C63221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048C10CA"/>
    <w:multiLevelType w:val="hybridMultilevel"/>
    <w:tmpl w:val="904668B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0" w15:restartNumberingAfterBreak="0">
    <w:nsid w:val="0E3402E6"/>
    <w:multiLevelType w:val="hybridMultilevel"/>
    <w:tmpl w:val="9EEA159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E12B36"/>
    <w:multiLevelType w:val="hybridMultilevel"/>
    <w:tmpl w:val="E070B1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7541A3F"/>
    <w:multiLevelType w:val="multilevel"/>
    <w:tmpl w:val="4BE4C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96B606F"/>
    <w:multiLevelType w:val="hybridMultilevel"/>
    <w:tmpl w:val="E0560262"/>
    <w:lvl w:ilvl="0" w:tplc="B9FA6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D71580"/>
    <w:multiLevelType w:val="hybridMultilevel"/>
    <w:tmpl w:val="16AAE240"/>
    <w:lvl w:ilvl="0" w:tplc="A9884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328D5"/>
    <w:multiLevelType w:val="multilevel"/>
    <w:tmpl w:val="47AAA7EE"/>
    <w:numStyleLink w:val="Numberlist"/>
  </w:abstractNum>
  <w:abstractNum w:abstractNumId="17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B0478C2"/>
    <w:multiLevelType w:val="hybridMultilevel"/>
    <w:tmpl w:val="EB5E0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103637"/>
    <w:multiLevelType w:val="multilevel"/>
    <w:tmpl w:val="47AAA7EE"/>
    <w:numStyleLink w:val="Numberlist"/>
  </w:abstractNum>
  <w:abstractNum w:abstractNumId="20" w15:restartNumberingAfterBreak="0">
    <w:nsid w:val="2C6274CC"/>
    <w:multiLevelType w:val="hybridMultilevel"/>
    <w:tmpl w:val="2AAC50D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12D55B1"/>
    <w:multiLevelType w:val="hybridMultilevel"/>
    <w:tmpl w:val="0F6E708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A15FE"/>
    <w:multiLevelType w:val="multilevel"/>
    <w:tmpl w:val="F36C17E8"/>
    <w:numStyleLink w:val="Headinglist"/>
  </w:abstractNum>
  <w:abstractNum w:abstractNumId="23" w15:restartNumberingAfterBreak="0">
    <w:nsid w:val="3BD81DEB"/>
    <w:multiLevelType w:val="hybridMultilevel"/>
    <w:tmpl w:val="7FEAC0D6"/>
    <w:lvl w:ilvl="0" w:tplc="6F14B9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4F4729"/>
    <w:multiLevelType w:val="multilevel"/>
    <w:tmpl w:val="A0241B28"/>
    <w:numStyleLink w:val="List1"/>
  </w:abstractNum>
  <w:abstractNum w:abstractNumId="25" w15:restartNumberingAfterBreak="0">
    <w:nsid w:val="437511A8"/>
    <w:multiLevelType w:val="hybridMultilevel"/>
    <w:tmpl w:val="3D5EA1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FF11B6"/>
    <w:multiLevelType w:val="hybridMultilevel"/>
    <w:tmpl w:val="938E127C"/>
    <w:lvl w:ilvl="0" w:tplc="83C23DE2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86800B4"/>
    <w:multiLevelType w:val="multilevel"/>
    <w:tmpl w:val="A0241B28"/>
    <w:numStyleLink w:val="List1"/>
  </w:abstractNum>
  <w:abstractNum w:abstractNumId="28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159DC"/>
    <w:multiLevelType w:val="multilevel"/>
    <w:tmpl w:val="47AAA7EE"/>
    <w:numStyleLink w:val="Numberlist"/>
  </w:abstractNum>
  <w:abstractNum w:abstractNumId="30" w15:restartNumberingAfterBreak="0">
    <w:nsid w:val="4AFE37F1"/>
    <w:multiLevelType w:val="hybridMultilevel"/>
    <w:tmpl w:val="48CE9E5C"/>
    <w:lvl w:ilvl="0" w:tplc="0C09000F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6" w:hanging="360"/>
      </w:pPr>
    </w:lvl>
    <w:lvl w:ilvl="2" w:tplc="0C09001B" w:tentative="1">
      <w:start w:val="1"/>
      <w:numFmt w:val="lowerRoman"/>
      <w:lvlText w:val="%3."/>
      <w:lvlJc w:val="right"/>
      <w:pPr>
        <w:ind w:left="1806" w:hanging="180"/>
      </w:pPr>
    </w:lvl>
    <w:lvl w:ilvl="3" w:tplc="0C09000F" w:tentative="1">
      <w:start w:val="1"/>
      <w:numFmt w:val="decimal"/>
      <w:lvlText w:val="%4."/>
      <w:lvlJc w:val="left"/>
      <w:pPr>
        <w:ind w:left="2526" w:hanging="360"/>
      </w:pPr>
    </w:lvl>
    <w:lvl w:ilvl="4" w:tplc="0C090019" w:tentative="1">
      <w:start w:val="1"/>
      <w:numFmt w:val="lowerLetter"/>
      <w:lvlText w:val="%5."/>
      <w:lvlJc w:val="left"/>
      <w:pPr>
        <w:ind w:left="3246" w:hanging="360"/>
      </w:pPr>
    </w:lvl>
    <w:lvl w:ilvl="5" w:tplc="0C09001B" w:tentative="1">
      <w:start w:val="1"/>
      <w:numFmt w:val="lowerRoman"/>
      <w:lvlText w:val="%6."/>
      <w:lvlJc w:val="right"/>
      <w:pPr>
        <w:ind w:left="3966" w:hanging="180"/>
      </w:pPr>
    </w:lvl>
    <w:lvl w:ilvl="6" w:tplc="0C09000F" w:tentative="1">
      <w:start w:val="1"/>
      <w:numFmt w:val="decimal"/>
      <w:lvlText w:val="%7."/>
      <w:lvlJc w:val="left"/>
      <w:pPr>
        <w:ind w:left="4686" w:hanging="360"/>
      </w:pPr>
    </w:lvl>
    <w:lvl w:ilvl="7" w:tplc="0C090019" w:tentative="1">
      <w:start w:val="1"/>
      <w:numFmt w:val="lowerLetter"/>
      <w:lvlText w:val="%8."/>
      <w:lvlJc w:val="left"/>
      <w:pPr>
        <w:ind w:left="5406" w:hanging="360"/>
      </w:pPr>
    </w:lvl>
    <w:lvl w:ilvl="8" w:tplc="0C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1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D74CFC"/>
    <w:multiLevelType w:val="hybridMultilevel"/>
    <w:tmpl w:val="323CB43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7303BF"/>
    <w:multiLevelType w:val="hybridMultilevel"/>
    <w:tmpl w:val="48CE9E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C150A6"/>
    <w:multiLevelType w:val="hybridMultilevel"/>
    <w:tmpl w:val="897AAF82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6" w15:restartNumberingAfterBreak="0">
    <w:nsid w:val="5A8B541B"/>
    <w:multiLevelType w:val="multilevel"/>
    <w:tmpl w:val="03FE8A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 w15:restartNumberingAfterBreak="0">
    <w:nsid w:val="5B8F3B04"/>
    <w:multiLevelType w:val="multilevel"/>
    <w:tmpl w:val="47AAA7EE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39" w15:restartNumberingAfterBreak="0">
    <w:nsid w:val="61164DD0"/>
    <w:multiLevelType w:val="hybridMultilevel"/>
    <w:tmpl w:val="FC281CCE"/>
    <w:lvl w:ilvl="0" w:tplc="0C09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C090015">
      <w:start w:val="1"/>
      <w:numFmt w:val="upperLetter"/>
      <w:lvlText w:val="%2."/>
      <w:lvlJc w:val="left"/>
      <w:pPr>
        <w:ind w:left="726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40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EE0A34"/>
    <w:multiLevelType w:val="hybridMultilevel"/>
    <w:tmpl w:val="38743F72"/>
    <w:lvl w:ilvl="0" w:tplc="B5506130">
      <w:start w:val="1"/>
      <w:numFmt w:val="lowerRoman"/>
      <w:lvlText w:val="%1)"/>
      <w:lvlJc w:val="left"/>
      <w:pPr>
        <w:ind w:left="23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0" w:hanging="360"/>
      </w:pPr>
    </w:lvl>
    <w:lvl w:ilvl="2" w:tplc="0C09001B" w:tentative="1">
      <w:start w:val="1"/>
      <w:numFmt w:val="lowerRoman"/>
      <w:lvlText w:val="%3."/>
      <w:lvlJc w:val="right"/>
      <w:pPr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 w15:restartNumberingAfterBreak="0">
    <w:nsid w:val="6C8C10A1"/>
    <w:multiLevelType w:val="multilevel"/>
    <w:tmpl w:val="47AAA7EE"/>
    <w:numStyleLink w:val="Numberlist"/>
  </w:abstractNum>
  <w:abstractNum w:abstractNumId="43" w15:restartNumberingAfterBreak="0">
    <w:nsid w:val="733934B7"/>
    <w:multiLevelType w:val="multilevel"/>
    <w:tmpl w:val="A0241B28"/>
    <w:numStyleLink w:val="List1"/>
  </w:abstractNum>
  <w:num w:numId="1">
    <w:abstractNumId w:val="7"/>
  </w:num>
  <w:num w:numId="2">
    <w:abstractNumId w:val="27"/>
  </w:num>
  <w:num w:numId="3">
    <w:abstractNumId w:val="28"/>
  </w:num>
  <w:num w:numId="4">
    <w:abstractNumId w:val="14"/>
  </w:num>
  <w:num w:numId="5">
    <w:abstractNumId w:val="37"/>
  </w:num>
  <w:num w:numId="6">
    <w:abstractNumId w:val="38"/>
  </w:num>
  <w:num w:numId="7">
    <w:abstractNumId w:val="9"/>
  </w:num>
  <w:num w:numId="8">
    <w:abstractNumId w:val="17"/>
  </w:num>
  <w:num w:numId="9">
    <w:abstractNumId w:val="22"/>
  </w:num>
  <w:num w:numId="10">
    <w:abstractNumId w:val="9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15"/>
  </w:num>
  <w:num w:numId="16">
    <w:abstractNumId w:val="35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</w:num>
  <w:num w:numId="19">
    <w:abstractNumId w:val="1"/>
  </w:num>
  <w:num w:numId="20">
    <w:abstractNumId w:val="0"/>
  </w:num>
  <w:num w:numId="21">
    <w:abstractNumId w:val="19"/>
  </w:num>
  <w:num w:numId="22">
    <w:abstractNumId w:val="29"/>
  </w:num>
  <w:num w:numId="23">
    <w:abstractNumId w:val="42"/>
  </w:num>
  <w:num w:numId="24">
    <w:abstractNumId w:val="16"/>
    <w:lvlOverride w:ilvl="0">
      <w:lvl w:ilvl="0">
        <w:start w:val="1"/>
        <w:numFmt w:val="decimal"/>
        <w:pStyle w:val="ListNumber"/>
        <w:lvlText w:val="%1)"/>
        <w:lvlJc w:val="left"/>
        <w:pPr>
          <w:ind w:left="2487" w:hanging="360"/>
        </w:pPr>
      </w:lvl>
    </w:lvlOverride>
    <w:lvlOverride w:ilvl="1">
      <w:lvl w:ilvl="1">
        <w:start w:val="1"/>
        <w:numFmt w:val="lowerLetter"/>
        <w:pStyle w:val="ListNumber2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pStyle w:val="ListNumber3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5">
    <w:abstractNumId w:val="24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</w:num>
  <w:num w:numId="28">
    <w:abstractNumId w:val="31"/>
  </w:num>
  <w:num w:numId="29">
    <w:abstractNumId w:val="36"/>
  </w:num>
  <w:num w:numId="30">
    <w:abstractNumId w:val="12"/>
  </w:num>
  <w:num w:numId="31">
    <w:abstractNumId w:val="39"/>
  </w:num>
  <w:num w:numId="32">
    <w:abstractNumId w:val="8"/>
  </w:num>
  <w:num w:numId="33">
    <w:abstractNumId w:val="33"/>
  </w:num>
  <w:num w:numId="34">
    <w:abstractNumId w:val="30"/>
  </w:num>
  <w:num w:numId="35">
    <w:abstractNumId w:val="20"/>
  </w:num>
  <w:num w:numId="36">
    <w:abstractNumId w:val="10"/>
  </w:num>
  <w:num w:numId="37">
    <w:abstractNumId w:val="23"/>
  </w:num>
  <w:num w:numId="38">
    <w:abstractNumId w:val="25"/>
  </w:num>
  <w:num w:numId="39">
    <w:abstractNumId w:val="16"/>
  </w:num>
  <w:num w:numId="40">
    <w:abstractNumId w:val="32"/>
  </w:num>
  <w:num w:numId="41">
    <w:abstractNumId w:val="34"/>
  </w:num>
  <w:num w:numId="42">
    <w:abstractNumId w:val="26"/>
  </w:num>
  <w:num w:numId="43">
    <w:abstractNumId w:val="41"/>
  </w:num>
  <w:num w:numId="44">
    <w:abstractNumId w:val="2"/>
  </w:num>
  <w:num w:numId="45">
    <w:abstractNumId w:val="16"/>
  </w:num>
  <w:num w:numId="46">
    <w:abstractNumId w:val="13"/>
  </w:num>
  <w:num w:numId="47">
    <w:abstractNumId w:val="21"/>
  </w:num>
  <w:num w:numId="48">
    <w:abstractNumId w:val="18"/>
  </w:num>
  <w:num w:numId="49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57345">
      <o:colormenu v:ext="edit" fillcolor="non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3E8"/>
    <w:rsid w:val="0000059E"/>
    <w:rsid w:val="0000066F"/>
    <w:rsid w:val="00011AC6"/>
    <w:rsid w:val="0001636F"/>
    <w:rsid w:val="00021590"/>
    <w:rsid w:val="00025D1B"/>
    <w:rsid w:val="000266C4"/>
    <w:rsid w:val="00030D42"/>
    <w:rsid w:val="0003388A"/>
    <w:rsid w:val="00036819"/>
    <w:rsid w:val="0003747A"/>
    <w:rsid w:val="00041A65"/>
    <w:rsid w:val="00050F05"/>
    <w:rsid w:val="000542B4"/>
    <w:rsid w:val="000542E2"/>
    <w:rsid w:val="00060415"/>
    <w:rsid w:val="000618F3"/>
    <w:rsid w:val="00066D0B"/>
    <w:rsid w:val="000717D2"/>
    <w:rsid w:val="00074A56"/>
    <w:rsid w:val="00080827"/>
    <w:rsid w:val="0008277A"/>
    <w:rsid w:val="000865AC"/>
    <w:rsid w:val="000904C1"/>
    <w:rsid w:val="000913B5"/>
    <w:rsid w:val="000938FF"/>
    <w:rsid w:val="000A2A06"/>
    <w:rsid w:val="000A5BA0"/>
    <w:rsid w:val="000B1AB4"/>
    <w:rsid w:val="000B3924"/>
    <w:rsid w:val="000B3C44"/>
    <w:rsid w:val="000C0412"/>
    <w:rsid w:val="000C079E"/>
    <w:rsid w:val="000C3B53"/>
    <w:rsid w:val="000C4558"/>
    <w:rsid w:val="000C563C"/>
    <w:rsid w:val="000C5ECE"/>
    <w:rsid w:val="000D3798"/>
    <w:rsid w:val="000E455C"/>
    <w:rsid w:val="000E7803"/>
    <w:rsid w:val="000F0491"/>
    <w:rsid w:val="000F7A52"/>
    <w:rsid w:val="00100CF6"/>
    <w:rsid w:val="001041E0"/>
    <w:rsid w:val="001233A8"/>
    <w:rsid w:val="00130B60"/>
    <w:rsid w:val="0013173D"/>
    <w:rsid w:val="001332F3"/>
    <w:rsid w:val="00136C72"/>
    <w:rsid w:val="00145FB7"/>
    <w:rsid w:val="001631D0"/>
    <w:rsid w:val="0018212C"/>
    <w:rsid w:val="00190D7E"/>
    <w:rsid w:val="001929D2"/>
    <w:rsid w:val="001A14AE"/>
    <w:rsid w:val="001A6968"/>
    <w:rsid w:val="001B4C5D"/>
    <w:rsid w:val="001B6865"/>
    <w:rsid w:val="001C07EF"/>
    <w:rsid w:val="001D0EF3"/>
    <w:rsid w:val="001D6373"/>
    <w:rsid w:val="001D7D0F"/>
    <w:rsid w:val="001E57E6"/>
    <w:rsid w:val="001E5992"/>
    <w:rsid w:val="001E6D9E"/>
    <w:rsid w:val="001E7B6D"/>
    <w:rsid w:val="001F5F35"/>
    <w:rsid w:val="001F6C6E"/>
    <w:rsid w:val="00203DE1"/>
    <w:rsid w:val="002153DD"/>
    <w:rsid w:val="002154DE"/>
    <w:rsid w:val="00220618"/>
    <w:rsid w:val="002260D6"/>
    <w:rsid w:val="002344A1"/>
    <w:rsid w:val="00237A69"/>
    <w:rsid w:val="00241BFB"/>
    <w:rsid w:val="00251DC7"/>
    <w:rsid w:val="002579ED"/>
    <w:rsid w:val="00263604"/>
    <w:rsid w:val="00267129"/>
    <w:rsid w:val="00275B58"/>
    <w:rsid w:val="00284B53"/>
    <w:rsid w:val="002A18A3"/>
    <w:rsid w:val="002A5666"/>
    <w:rsid w:val="002A7EFC"/>
    <w:rsid w:val="002B1D40"/>
    <w:rsid w:val="002B1FAF"/>
    <w:rsid w:val="002B4F59"/>
    <w:rsid w:val="002C4733"/>
    <w:rsid w:val="002E205B"/>
    <w:rsid w:val="002E3FD4"/>
    <w:rsid w:val="002E77B1"/>
    <w:rsid w:val="002F4595"/>
    <w:rsid w:val="00300AFD"/>
    <w:rsid w:val="003032C0"/>
    <w:rsid w:val="00332432"/>
    <w:rsid w:val="00336B60"/>
    <w:rsid w:val="00341A7E"/>
    <w:rsid w:val="0035108D"/>
    <w:rsid w:val="003569F9"/>
    <w:rsid w:val="0036554E"/>
    <w:rsid w:val="00365EDD"/>
    <w:rsid w:val="00366721"/>
    <w:rsid w:val="00370990"/>
    <w:rsid w:val="0037698A"/>
    <w:rsid w:val="0038181B"/>
    <w:rsid w:val="00382610"/>
    <w:rsid w:val="00391635"/>
    <w:rsid w:val="00392124"/>
    <w:rsid w:val="003937B8"/>
    <w:rsid w:val="003C105E"/>
    <w:rsid w:val="003C35C2"/>
    <w:rsid w:val="003C5004"/>
    <w:rsid w:val="003C5431"/>
    <w:rsid w:val="003C6624"/>
    <w:rsid w:val="003D36D5"/>
    <w:rsid w:val="003E48EA"/>
    <w:rsid w:val="003F6C54"/>
    <w:rsid w:val="003F73D7"/>
    <w:rsid w:val="00404718"/>
    <w:rsid w:val="00411260"/>
    <w:rsid w:val="004227A5"/>
    <w:rsid w:val="004311C9"/>
    <w:rsid w:val="00441F2E"/>
    <w:rsid w:val="00442630"/>
    <w:rsid w:val="0044304D"/>
    <w:rsid w:val="00446CB3"/>
    <w:rsid w:val="0046183B"/>
    <w:rsid w:val="00474BB1"/>
    <w:rsid w:val="004774CA"/>
    <w:rsid w:val="00495068"/>
    <w:rsid w:val="00497034"/>
    <w:rsid w:val="004C2737"/>
    <w:rsid w:val="004C2DA2"/>
    <w:rsid w:val="004C3EC0"/>
    <w:rsid w:val="004C440B"/>
    <w:rsid w:val="004D0888"/>
    <w:rsid w:val="004D0B94"/>
    <w:rsid w:val="004D2ECD"/>
    <w:rsid w:val="004D41BE"/>
    <w:rsid w:val="004E21DE"/>
    <w:rsid w:val="004F7160"/>
    <w:rsid w:val="005019C1"/>
    <w:rsid w:val="00503E8C"/>
    <w:rsid w:val="00503F2F"/>
    <w:rsid w:val="0050718F"/>
    <w:rsid w:val="00515287"/>
    <w:rsid w:val="005157CF"/>
    <w:rsid w:val="00527807"/>
    <w:rsid w:val="005278BF"/>
    <w:rsid w:val="00531B5A"/>
    <w:rsid w:val="005457EA"/>
    <w:rsid w:val="00547783"/>
    <w:rsid w:val="00553E9D"/>
    <w:rsid w:val="0055447F"/>
    <w:rsid w:val="00555BEE"/>
    <w:rsid w:val="00567DFC"/>
    <w:rsid w:val="00570C20"/>
    <w:rsid w:val="0057589E"/>
    <w:rsid w:val="00577F29"/>
    <w:rsid w:val="00583BD3"/>
    <w:rsid w:val="00587080"/>
    <w:rsid w:val="005A48A6"/>
    <w:rsid w:val="005B4ED5"/>
    <w:rsid w:val="005B613F"/>
    <w:rsid w:val="005B6517"/>
    <w:rsid w:val="005B7249"/>
    <w:rsid w:val="005C1967"/>
    <w:rsid w:val="005C2BFD"/>
    <w:rsid w:val="005C5065"/>
    <w:rsid w:val="005C7367"/>
    <w:rsid w:val="005D0CC4"/>
    <w:rsid w:val="005E0209"/>
    <w:rsid w:val="00604CCF"/>
    <w:rsid w:val="00607A21"/>
    <w:rsid w:val="00607A36"/>
    <w:rsid w:val="006156DF"/>
    <w:rsid w:val="00615B69"/>
    <w:rsid w:val="00617E6F"/>
    <w:rsid w:val="00617FDE"/>
    <w:rsid w:val="00620923"/>
    <w:rsid w:val="00621357"/>
    <w:rsid w:val="00625D8D"/>
    <w:rsid w:val="00626449"/>
    <w:rsid w:val="00630E33"/>
    <w:rsid w:val="006360F9"/>
    <w:rsid w:val="006371B7"/>
    <w:rsid w:val="00642D73"/>
    <w:rsid w:val="00642F36"/>
    <w:rsid w:val="00646912"/>
    <w:rsid w:val="00646917"/>
    <w:rsid w:val="00656587"/>
    <w:rsid w:val="006575F3"/>
    <w:rsid w:val="00660B1A"/>
    <w:rsid w:val="00675001"/>
    <w:rsid w:val="00696682"/>
    <w:rsid w:val="006B0030"/>
    <w:rsid w:val="006B731B"/>
    <w:rsid w:val="006D1368"/>
    <w:rsid w:val="006D413F"/>
    <w:rsid w:val="006E03C4"/>
    <w:rsid w:val="006F6FE8"/>
    <w:rsid w:val="0070464B"/>
    <w:rsid w:val="00717ACB"/>
    <w:rsid w:val="00721291"/>
    <w:rsid w:val="00722A11"/>
    <w:rsid w:val="00722B6D"/>
    <w:rsid w:val="007258B1"/>
    <w:rsid w:val="00725C8B"/>
    <w:rsid w:val="00740145"/>
    <w:rsid w:val="00743DFB"/>
    <w:rsid w:val="00754CA3"/>
    <w:rsid w:val="007631BB"/>
    <w:rsid w:val="0076549B"/>
    <w:rsid w:val="007761A1"/>
    <w:rsid w:val="00793E18"/>
    <w:rsid w:val="007C0010"/>
    <w:rsid w:val="007E4663"/>
    <w:rsid w:val="007E5182"/>
    <w:rsid w:val="007E69AF"/>
    <w:rsid w:val="00803DE5"/>
    <w:rsid w:val="0080517C"/>
    <w:rsid w:val="00806D2A"/>
    <w:rsid w:val="008131C8"/>
    <w:rsid w:val="00820EC6"/>
    <w:rsid w:val="00832638"/>
    <w:rsid w:val="00837796"/>
    <w:rsid w:val="00865130"/>
    <w:rsid w:val="008736F8"/>
    <w:rsid w:val="00877443"/>
    <w:rsid w:val="008774DA"/>
    <w:rsid w:val="00892F53"/>
    <w:rsid w:val="00893952"/>
    <w:rsid w:val="00895341"/>
    <w:rsid w:val="008A3FB3"/>
    <w:rsid w:val="008D5B2A"/>
    <w:rsid w:val="008D655D"/>
    <w:rsid w:val="008E3B54"/>
    <w:rsid w:val="008F1712"/>
    <w:rsid w:val="008F23B2"/>
    <w:rsid w:val="008F382A"/>
    <w:rsid w:val="008F658F"/>
    <w:rsid w:val="0090252E"/>
    <w:rsid w:val="00902E92"/>
    <w:rsid w:val="00906E04"/>
    <w:rsid w:val="0090743D"/>
    <w:rsid w:val="00911233"/>
    <w:rsid w:val="00911F4A"/>
    <w:rsid w:val="00916FC3"/>
    <w:rsid w:val="00921373"/>
    <w:rsid w:val="00923D56"/>
    <w:rsid w:val="00943779"/>
    <w:rsid w:val="009442F3"/>
    <w:rsid w:val="009531B1"/>
    <w:rsid w:val="00962804"/>
    <w:rsid w:val="00967B73"/>
    <w:rsid w:val="00970743"/>
    <w:rsid w:val="00974CD6"/>
    <w:rsid w:val="009844EA"/>
    <w:rsid w:val="00986C1A"/>
    <w:rsid w:val="00994F38"/>
    <w:rsid w:val="009A2143"/>
    <w:rsid w:val="009A7172"/>
    <w:rsid w:val="009B6920"/>
    <w:rsid w:val="009C206F"/>
    <w:rsid w:val="009C37F9"/>
    <w:rsid w:val="009C3FA3"/>
    <w:rsid w:val="009C5CE4"/>
    <w:rsid w:val="009D2FDA"/>
    <w:rsid w:val="009D51B1"/>
    <w:rsid w:val="009D7044"/>
    <w:rsid w:val="009F5403"/>
    <w:rsid w:val="00A0014D"/>
    <w:rsid w:val="00A022A9"/>
    <w:rsid w:val="00A046E2"/>
    <w:rsid w:val="00A04AFD"/>
    <w:rsid w:val="00A1000C"/>
    <w:rsid w:val="00A130F7"/>
    <w:rsid w:val="00A1686E"/>
    <w:rsid w:val="00A26BAB"/>
    <w:rsid w:val="00A30DC6"/>
    <w:rsid w:val="00A32860"/>
    <w:rsid w:val="00A50B94"/>
    <w:rsid w:val="00A50CF1"/>
    <w:rsid w:val="00A62F99"/>
    <w:rsid w:val="00A65D84"/>
    <w:rsid w:val="00A77E8E"/>
    <w:rsid w:val="00A80873"/>
    <w:rsid w:val="00A8157A"/>
    <w:rsid w:val="00A8430F"/>
    <w:rsid w:val="00A94B62"/>
    <w:rsid w:val="00AA1D89"/>
    <w:rsid w:val="00AB4BFE"/>
    <w:rsid w:val="00AB6A53"/>
    <w:rsid w:val="00AC56D4"/>
    <w:rsid w:val="00AE1E6E"/>
    <w:rsid w:val="00AE4763"/>
    <w:rsid w:val="00AF7A63"/>
    <w:rsid w:val="00B0121B"/>
    <w:rsid w:val="00B0455B"/>
    <w:rsid w:val="00B11E02"/>
    <w:rsid w:val="00B2506E"/>
    <w:rsid w:val="00B335EB"/>
    <w:rsid w:val="00B3476F"/>
    <w:rsid w:val="00B43568"/>
    <w:rsid w:val="00B4590A"/>
    <w:rsid w:val="00B5706F"/>
    <w:rsid w:val="00B82095"/>
    <w:rsid w:val="00B90975"/>
    <w:rsid w:val="00B90C93"/>
    <w:rsid w:val="00B93571"/>
    <w:rsid w:val="00B94CBD"/>
    <w:rsid w:val="00BA2806"/>
    <w:rsid w:val="00BC02E2"/>
    <w:rsid w:val="00BC321A"/>
    <w:rsid w:val="00BD4F8E"/>
    <w:rsid w:val="00BE345B"/>
    <w:rsid w:val="00BE4273"/>
    <w:rsid w:val="00BF1A2A"/>
    <w:rsid w:val="00BF33A0"/>
    <w:rsid w:val="00BF3950"/>
    <w:rsid w:val="00BF5E7A"/>
    <w:rsid w:val="00C10DC3"/>
    <w:rsid w:val="00C15D1B"/>
    <w:rsid w:val="00C416D8"/>
    <w:rsid w:val="00C434FA"/>
    <w:rsid w:val="00C46FF5"/>
    <w:rsid w:val="00C6128D"/>
    <w:rsid w:val="00C63878"/>
    <w:rsid w:val="00C73278"/>
    <w:rsid w:val="00C765C8"/>
    <w:rsid w:val="00C82029"/>
    <w:rsid w:val="00C8307E"/>
    <w:rsid w:val="00C87060"/>
    <w:rsid w:val="00C92839"/>
    <w:rsid w:val="00C9283A"/>
    <w:rsid w:val="00C93387"/>
    <w:rsid w:val="00C95039"/>
    <w:rsid w:val="00C96AF7"/>
    <w:rsid w:val="00C96BF6"/>
    <w:rsid w:val="00C97842"/>
    <w:rsid w:val="00CA2AA1"/>
    <w:rsid w:val="00CA4615"/>
    <w:rsid w:val="00CA7179"/>
    <w:rsid w:val="00CA7C6F"/>
    <w:rsid w:val="00CB430F"/>
    <w:rsid w:val="00CD3A6F"/>
    <w:rsid w:val="00CD6263"/>
    <w:rsid w:val="00CE7F36"/>
    <w:rsid w:val="00CF7D08"/>
    <w:rsid w:val="00D04A3C"/>
    <w:rsid w:val="00D22097"/>
    <w:rsid w:val="00D3300B"/>
    <w:rsid w:val="00D331CE"/>
    <w:rsid w:val="00D36C41"/>
    <w:rsid w:val="00D4039B"/>
    <w:rsid w:val="00D41AA5"/>
    <w:rsid w:val="00D43FC4"/>
    <w:rsid w:val="00D443B0"/>
    <w:rsid w:val="00D47D00"/>
    <w:rsid w:val="00D5129A"/>
    <w:rsid w:val="00D55A85"/>
    <w:rsid w:val="00D579F1"/>
    <w:rsid w:val="00D65AC6"/>
    <w:rsid w:val="00D750D0"/>
    <w:rsid w:val="00D80D02"/>
    <w:rsid w:val="00D87480"/>
    <w:rsid w:val="00DA3863"/>
    <w:rsid w:val="00DA3B61"/>
    <w:rsid w:val="00DB71FD"/>
    <w:rsid w:val="00DC453F"/>
    <w:rsid w:val="00DC5017"/>
    <w:rsid w:val="00DC57F0"/>
    <w:rsid w:val="00DE03E4"/>
    <w:rsid w:val="00DE546F"/>
    <w:rsid w:val="00DF241E"/>
    <w:rsid w:val="00DF522D"/>
    <w:rsid w:val="00E23BCC"/>
    <w:rsid w:val="00E25A07"/>
    <w:rsid w:val="00E322E7"/>
    <w:rsid w:val="00E333DF"/>
    <w:rsid w:val="00E34E7B"/>
    <w:rsid w:val="00E3702C"/>
    <w:rsid w:val="00E44E91"/>
    <w:rsid w:val="00E65D48"/>
    <w:rsid w:val="00E673E8"/>
    <w:rsid w:val="00E7212A"/>
    <w:rsid w:val="00E83C41"/>
    <w:rsid w:val="00E861E0"/>
    <w:rsid w:val="00E9781D"/>
    <w:rsid w:val="00EA0F87"/>
    <w:rsid w:val="00EA5D76"/>
    <w:rsid w:val="00EB2B6F"/>
    <w:rsid w:val="00EC18B8"/>
    <w:rsid w:val="00EC2925"/>
    <w:rsid w:val="00EC4447"/>
    <w:rsid w:val="00EC5579"/>
    <w:rsid w:val="00EC5C40"/>
    <w:rsid w:val="00EC7FE8"/>
    <w:rsid w:val="00ED774B"/>
    <w:rsid w:val="00EE0118"/>
    <w:rsid w:val="00EE49CE"/>
    <w:rsid w:val="00EE6D05"/>
    <w:rsid w:val="00EE7C8D"/>
    <w:rsid w:val="00EF24B1"/>
    <w:rsid w:val="00EF3918"/>
    <w:rsid w:val="00EF44DB"/>
    <w:rsid w:val="00F00421"/>
    <w:rsid w:val="00F12E63"/>
    <w:rsid w:val="00F21AF4"/>
    <w:rsid w:val="00F25175"/>
    <w:rsid w:val="00F27A74"/>
    <w:rsid w:val="00F330C3"/>
    <w:rsid w:val="00F40745"/>
    <w:rsid w:val="00F537D3"/>
    <w:rsid w:val="00F53A1D"/>
    <w:rsid w:val="00F66B7E"/>
    <w:rsid w:val="00F75F33"/>
    <w:rsid w:val="00F76921"/>
    <w:rsid w:val="00F84236"/>
    <w:rsid w:val="00F9536E"/>
    <w:rsid w:val="00FA414D"/>
    <w:rsid w:val="00FA4670"/>
    <w:rsid w:val="00FA4E09"/>
    <w:rsid w:val="00FB32B2"/>
    <w:rsid w:val="00FC2CE4"/>
    <w:rsid w:val="00FC379E"/>
    <w:rsid w:val="00FD337C"/>
    <w:rsid w:val="00FD3BAE"/>
    <w:rsid w:val="00FD5236"/>
    <w:rsid w:val="00FD7D5B"/>
    <w:rsid w:val="00FE0550"/>
    <w:rsid w:val="00FE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o:colormenu v:ext="edit" fillcolor="none"/>
    </o:shapedefaults>
    <o:shapelayout v:ext="edit">
      <o:idmap v:ext="edit" data="1"/>
    </o:shapelayout>
  </w:shapeDefaults>
  <w:decimalSymbol w:val="."/>
  <w:listSeparator w:val=","/>
  <w14:docId w14:val="5AE06859"/>
  <w15:docId w15:val="{9F567AB1-17F4-4080-9FB4-0A8EE18A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373"/>
    <w:pPr>
      <w:spacing w:after="120" w:line="276" w:lineRule="auto"/>
    </w:pPr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B2506E"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color w:val="083A42" w:themeColor="text1"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B2506E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color w:val="197C7D" w:themeColor="text2"/>
      <w:sz w:val="28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6360F9"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1929D2"/>
    <w:pPr>
      <w:keepNext/>
      <w:ind w:left="964" w:hanging="964"/>
      <w:outlineLvl w:val="3"/>
    </w:pPr>
    <w:rPr>
      <w:rFonts w:ascii="Calibri" w:eastAsia="Times New Roman" w:hAnsi="Calibri"/>
      <w:b/>
      <w:bCs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474BB1"/>
    <w:pPr>
      <w:keepNext/>
      <w:keepLines/>
      <w:spacing w:after="0" w:line="240" w:lineRule="auto"/>
      <w:outlineLvl w:val="4"/>
    </w:pPr>
    <w:rPr>
      <w:rFonts w:ascii="Calibri" w:hAnsi="Calibri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B2506E"/>
    <w:rPr>
      <w:rFonts w:ascii="Calibri" w:eastAsiaTheme="minorHAnsi" w:hAnsi="Calibri" w:cstheme="minorBidi"/>
      <w:b/>
      <w:bCs/>
      <w:color w:val="083A42" w:themeColor="text1"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B2506E"/>
    <w:rPr>
      <w:rFonts w:ascii="Calibri" w:eastAsiaTheme="minorEastAsia" w:hAnsi="Calibri" w:cstheme="minorBidi"/>
      <w:b/>
      <w:bCs/>
      <w:color w:val="197C7D" w:themeColor="text2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6360F9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1929D2"/>
    <w:rPr>
      <w:rFonts w:ascii="Calibri" w:eastAsia="Times New Roman" w:hAnsi="Calibri"/>
      <w:b/>
      <w:bCs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474BB1"/>
    <w:rPr>
      <w:rFonts w:ascii="Calibri" w:eastAsiaTheme="minorHAnsi" w:hAnsi="Calibri" w:cstheme="minorBidi"/>
      <w:b/>
      <w:i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/>
      <w:bCs/>
      <w:color w:val="000000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5"/>
      </w:numPr>
      <w:spacing w:before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5"/>
      </w:numPr>
      <w:spacing w:before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45"/>
      </w:numPr>
      <w:tabs>
        <w:tab w:val="left" w:pos="142"/>
      </w:tabs>
      <w:spacing w:before="120"/>
    </w:pPr>
  </w:style>
  <w:style w:type="paragraph" w:styleId="ListNumber2">
    <w:name w:val="List Number 2"/>
    <w:uiPriority w:val="10"/>
    <w:qFormat/>
    <w:rsid w:val="00241BFB"/>
    <w:pPr>
      <w:numPr>
        <w:ilvl w:val="1"/>
        <w:numId w:val="45"/>
      </w:numPr>
      <w:tabs>
        <w:tab w:val="left" w:pos="567"/>
      </w:tabs>
      <w:spacing w:before="120" w:after="120" w:line="264" w:lineRule="auto"/>
    </w:pPr>
    <w:rPr>
      <w:rFonts w:asciiTheme="minorHAnsi" w:eastAsia="Times New Roman" w:hAnsiTheme="minorHAnsi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720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"/>
      </w:numPr>
      <w:ind w:left="357" w:hanging="357"/>
    </w:pPr>
  </w:style>
  <w:style w:type="paragraph" w:customStyle="1" w:styleId="TableBullet1">
    <w:name w:val="Table Bullet 1"/>
    <w:basedOn w:val="Date"/>
    <w:uiPriority w:val="15"/>
    <w:qFormat/>
    <w:rsid w:val="002B1FAF"/>
    <w:rPr>
      <w:sz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8"/>
      </w:numPr>
    </w:pPr>
  </w:style>
  <w:style w:type="paragraph" w:customStyle="1" w:styleId="Normalsmall">
    <w:name w:val="Normal small"/>
    <w:qFormat/>
    <w:rsid w:val="00B2506E"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pPr>
      <w:numPr>
        <w:ilvl w:val="2"/>
        <w:numId w:val="5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rsid w:val="001A14AE"/>
    <w:pPr>
      <w:numPr>
        <w:numId w:val="16"/>
      </w:numPr>
      <w:spacing w:before="60" w:after="60"/>
      <w:ind w:left="403"/>
      <w:contextualSpacing/>
    </w:pPr>
    <w:rPr>
      <w:rFonts w:asciiTheme="minorHAnsi" w:eastAsia="Calibri" w:hAnsiTheme="minorHAnsi"/>
      <w:color w:val="083A42" w:themeColor="text1"/>
      <w:sz w:val="19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083A42" w:themeColor="accent1"/>
    </w:rPr>
  </w:style>
  <w:style w:type="paragraph" w:customStyle="1" w:styleId="TableBullet2">
    <w:name w:val="Table Bullet 2"/>
    <w:basedOn w:val="TableBullet1"/>
    <w:qFormat/>
    <w:rsid w:val="002B1FAF"/>
    <w:pPr>
      <w:numPr>
        <w:numId w:val="30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28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553E9D"/>
    <w:pPr>
      <w:spacing w:before="60" w:after="60"/>
    </w:pPr>
    <w:rPr>
      <w:rFonts w:asciiTheme="majorHAnsi" w:eastAsia="Times New Roman" w:hAnsiTheme="maj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rsid w:val="00F21AF4"/>
    <w:pPr>
      <w:spacing w:before="1560" w:after="160" w:line="360" w:lineRule="auto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sid w:val="00F21AF4"/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customStyle="1" w:styleId="Series">
    <w:name w:val="Series"/>
    <w:qFormat/>
    <w:rsid w:val="00B2506E"/>
    <w:pPr>
      <w:spacing w:before="120" w:after="120"/>
    </w:pPr>
    <w:rPr>
      <w:rFonts w:asciiTheme="minorHAnsi" w:eastAsiaTheme="minorHAnsi" w:hAnsiTheme="minorHAnsi" w:cstheme="minorBidi"/>
      <w:b/>
      <w:i/>
      <w:color w:val="197C7D" w:themeColor="text2"/>
      <w:sz w:val="3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7803"/>
    <w:rPr>
      <w:color w:val="605E5C"/>
      <w:shd w:val="clear" w:color="auto" w:fill="E1DFDD"/>
    </w:rPr>
  </w:style>
  <w:style w:type="paragraph" w:styleId="ListNumber3">
    <w:name w:val="List Number 3"/>
    <w:uiPriority w:val="11"/>
    <w:qFormat/>
    <w:rsid w:val="001D6373"/>
    <w:pPr>
      <w:numPr>
        <w:ilvl w:val="2"/>
        <w:numId w:val="45"/>
      </w:numPr>
      <w:spacing w:before="120" w:after="120" w:line="264" w:lineRule="auto"/>
      <w:ind w:left="1247"/>
    </w:pPr>
    <w:rPr>
      <w:rFonts w:asciiTheme="minorHAnsi" w:eastAsia="Times New Roman" w:hAnsiTheme="minorHAnsi"/>
      <w:sz w:val="22"/>
      <w:szCs w:val="24"/>
      <w:lang w:eastAsia="en-US"/>
    </w:rPr>
  </w:style>
  <w:style w:type="paragraph" w:customStyle="1" w:styleId="CAB-Heading3">
    <w:name w:val="CAB - Heading 3"/>
    <w:basedOn w:val="Heading2"/>
    <w:link w:val="CAB-Heading3Char"/>
    <w:uiPriority w:val="98"/>
    <w:rsid w:val="00341A7E"/>
    <w:pPr>
      <w:keepLines/>
      <w:spacing w:before="200" w:after="0"/>
      <w:ind w:left="0" w:firstLine="0"/>
    </w:pPr>
    <w:rPr>
      <w:rFonts w:ascii="Arial" w:eastAsiaTheme="majorEastAsia" w:hAnsi="Arial" w:cstheme="majorBidi"/>
      <w:color w:val="auto"/>
      <w:sz w:val="24"/>
      <w:szCs w:val="32"/>
      <w:lang w:eastAsia="en-US"/>
    </w:rPr>
  </w:style>
  <w:style w:type="character" w:customStyle="1" w:styleId="CAB-Heading3Char">
    <w:name w:val="CAB - Heading 3 Char"/>
    <w:basedOn w:val="DefaultParagraphFont"/>
    <w:link w:val="CAB-Heading3"/>
    <w:uiPriority w:val="98"/>
    <w:rsid w:val="00341A7E"/>
    <w:rPr>
      <w:rFonts w:ascii="Arial" w:eastAsiaTheme="majorEastAsia" w:hAnsi="Arial" w:cstheme="majorBidi"/>
      <w:b/>
      <w:bCs/>
      <w:sz w:val="24"/>
      <w:szCs w:val="32"/>
      <w:lang w:eastAsia="en-US"/>
    </w:rPr>
  </w:style>
  <w:style w:type="paragraph" w:customStyle="1" w:styleId="CABNETParagraph">
    <w:name w:val="CABNET Paragraph."/>
    <w:basedOn w:val="Normal"/>
    <w:link w:val="CABNETParagraphChar"/>
    <w:uiPriority w:val="98"/>
    <w:qFormat/>
    <w:rsid w:val="00341A7E"/>
    <w:pPr>
      <w:spacing w:before="120" w:line="240" w:lineRule="auto"/>
    </w:pPr>
    <w:rPr>
      <w:rFonts w:ascii="Arial" w:hAnsi="Arial" w:cstheme="minorHAnsi"/>
    </w:rPr>
  </w:style>
  <w:style w:type="character" w:customStyle="1" w:styleId="CABNETParagraphChar">
    <w:name w:val="CABNET Paragraph. Char"/>
    <w:basedOn w:val="DefaultParagraphFont"/>
    <w:link w:val="CABNETParagraph"/>
    <w:uiPriority w:val="98"/>
    <w:rsid w:val="00341A7E"/>
    <w:rPr>
      <w:rFonts w:ascii="Arial" w:eastAsiaTheme="minorHAnsi" w:hAnsi="Arial" w:cstheme="minorHAnsi"/>
      <w:sz w:val="22"/>
      <w:szCs w:val="22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72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ndustry.gov.au/news/national-reconstruction-fund-diversifying-and-transforming-australias-industry-and-economy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consult.dcceew.gov.au/climate-au/safeguard-mechanism-reform-consult-on-desig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onsult.industry.gov.au/safeguard-mechanism-reform-consultation-paper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DCCEEW">
      <a:dk1>
        <a:srgbClr val="083A42"/>
      </a:dk1>
      <a:lt1>
        <a:srgbClr val="F5FFF5"/>
      </a:lt1>
      <a:dk2>
        <a:srgbClr val="197C7D"/>
      </a:dk2>
      <a:lt2>
        <a:srgbClr val="FFFFFF"/>
      </a:lt2>
      <a:accent1>
        <a:srgbClr val="083A42"/>
      </a:accent1>
      <a:accent2>
        <a:srgbClr val="197C7D"/>
      </a:accent2>
      <a:accent3>
        <a:srgbClr val="9AFFBE"/>
      </a:accent3>
      <a:accent4>
        <a:srgbClr val="F5FFF5"/>
      </a:accent4>
      <a:accent5>
        <a:srgbClr val="D8D8D8"/>
      </a:accent5>
      <a:accent6>
        <a:srgbClr val="191919"/>
      </a:accent6>
      <a:hlink>
        <a:srgbClr val="083A42"/>
      </a:hlink>
      <a:folHlink>
        <a:srgbClr val="33333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b9bed2e36e4a93af574aeb444da63e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Powering the Regions</TermName>
          <TermId xmlns="http://schemas.microsoft.com/office/infopath/2007/PartnerControls">20eb9334-2fa9-4536-99e6-8f0045b153e7</TermId>
        </TermInfo>
        <TermInfo xmlns="http://schemas.microsoft.com/office/infopath/2007/PartnerControls">
          <TermName xmlns="http://schemas.microsoft.com/office/infopath/2007/PartnerControls">Safeguard Mechanism</TermName>
          <TermId xmlns="http://schemas.microsoft.com/office/infopath/2007/PartnerControls">462066da-c297-4969-b9e8-878ecfcc0dda</TermId>
        </TermInfo>
        <TermInfo xmlns="http://schemas.microsoft.com/office/infopath/2007/PartnerControls">
          <TermName xmlns="http://schemas.microsoft.com/office/infopath/2007/PartnerControls">safeguard crediting mechanism</TermName>
          <TermId xmlns="http://schemas.microsoft.com/office/infopath/2007/PartnerControls">75434233-90c7-4875-a6e6-25e899081f37</TermId>
        </TermInfo>
      </Terms>
    </adb9bed2e36e4a93af574aeb444da63e>
    <n99e4c9942c6404eb103464a00e6097b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2022-23</TermName>
          <TermId xmlns="http://schemas.microsoft.com/office/infopath/2007/PartnerControls">45480dfc-f68a-4957-b787-0b214acdcdb8</TermId>
        </TermInfo>
      </Terms>
    </n99e4c9942c6404eb103464a00e6097b>
    <pe2555c81638466f9eb614edb9ecde52 xmlns="a36bd50b-1532-4c22-b385-5c082c960938">
      <Terms xmlns="http://schemas.microsoft.com/office/infopath/2007/PartnerControls">
        <TermInfo xmlns="http://schemas.microsoft.com/office/infopath/2007/PartnerControls">
          <TermName>Fact Sheet</TermName>
          <TermId>38af007d-6d80-4dd0-9833-ef17489d7c7e</TermId>
        </TermInfo>
      </Terms>
    </pe2555c81638466f9eb614edb9ecde52>
    <aa25a1a23adf4c92a153145de6afe324 xmlns="a36bd50b-1532-4c22-b385-5c082c960938">
      <Terms xmlns="http://schemas.microsoft.com/office/infopath/2007/PartnerControls">
        <TermInfo xmlns="http://schemas.microsoft.com/office/infopath/2007/PartnerControls">
          <TermName>OFFICIAL</TermName>
          <TermId>6106d03b-a1a0-4e30-9d91-d5e9fb4314f9</TermId>
        </TermInfo>
      </Terms>
    </aa25a1a23adf4c92a153145de6afe324>
    <g7bcb40ba23249a78edca7d43a67c1c9 xmlns="a36bd50b-1532-4c22-b385-5c082c960938">
      <Terms xmlns="http://schemas.microsoft.com/office/infopath/2007/PartnerControls">
        <TermInfo xmlns="http://schemas.microsoft.com/office/infopath/2007/PartnerControls">
          <TermName>Consultation</TermName>
          <TermId>fb51ee50-3149-4bd9-89ce-8613c76e7a2f</TermId>
        </TermInfo>
      </Terms>
    </g7bcb40ba23249a78edca7d43a67c1c9>
    <TaxCatchAll xmlns="a36bd50b-1532-4c22-b385-5c082c960938">
      <Value>1257</Value>
      <Value>1532</Value>
      <Value>234</Value>
      <Value>1808</Value>
      <Value>378</Value>
      <Value>3</Value>
      <Value>240</Value>
    </TaxCatchAll>
    <Comments xmlns="http://schemas.microsoft.com/sharepoint/v3">Cleared by AG and office</Comments>
    <IconOverlay xmlns="http://schemas.microsoft.com/sharepoint/v4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986DFDE75994F940B8C539C91BA04" ma:contentTypeVersion="14" ma:contentTypeDescription="Create a new document." ma:contentTypeScope="" ma:versionID="4141dd26a2ffeb935ee6c41f54aa8c34">
  <xsd:schema xmlns:xsd="http://www.w3.org/2001/XMLSchema" xmlns:xs="http://www.w3.org/2001/XMLSchema" xmlns:p="http://schemas.microsoft.com/office/2006/metadata/properties" xmlns:ns1="http://schemas.microsoft.com/sharepoint/v3" xmlns:ns2="a36bd50b-1532-4c22-b385-5c082c960938" xmlns:ns3="8c4c6479-bb6a-4263-8159-fbb0afc5d491" xmlns:ns4="http://schemas.microsoft.com/sharepoint/v4" targetNamespace="http://schemas.microsoft.com/office/2006/metadata/properties" ma:root="true" ma:fieldsID="35a4915c153d951265893df6741f4417" ns1:_="" ns2:_="" ns3:_="" ns4:_="">
    <xsd:import namespace="http://schemas.microsoft.com/sharepoint/v3"/>
    <xsd:import namespace="a36bd50b-1532-4c22-b385-5c082c960938"/>
    <xsd:import namespace="8c4c6479-bb6a-4263-8159-fbb0afc5d4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SharedWithUser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bd50b-1532-4c22-b385-5c082c9609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0fbe3fec-c611-4c3e-9ea6-f54bcd1bbf7a}" ma:internalName="TaxCatchAll" ma:showField="CatchAllData" ma:web="8c4c6479-bb6a-4263-8159-fbb0afc5d4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9d8bf4-53b1-4391-9742-58425172aa6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c6479-bb6a-4263-8159-fbb0afc5d491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481C84-38E0-4947-8179-D0650BEC7FA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B665F0-4E7E-4D6B-BA55-71345728FA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1CAD33-3B39-4665-A5E6-666D035120E9}">
  <ds:schemaRefs>
    <ds:schemaRef ds:uri="http://schemas.microsoft.com/office/infopath/2007/PartnerControls"/>
    <ds:schemaRef ds:uri="http://purl.org/dc/terms/"/>
    <ds:schemaRef ds:uri="http://www.w3.org/XML/1998/namespace"/>
    <ds:schemaRef ds:uri="http://schemas.microsoft.com/sharepoint/v4"/>
    <ds:schemaRef ds:uri="http://schemas.openxmlformats.org/package/2006/metadata/core-properties"/>
    <ds:schemaRef ds:uri="8c4c6479-bb6a-4263-8159-fbb0afc5d491"/>
    <ds:schemaRef ds:uri="http://purl.org/dc/elements/1.1/"/>
    <ds:schemaRef ds:uri="http://purl.org/dc/dcmitype/"/>
    <ds:schemaRef ds:uri="http://schemas.microsoft.com/office/2006/documentManagement/types"/>
    <ds:schemaRef ds:uri="a36bd50b-1532-4c22-b385-5c082c960938"/>
    <ds:schemaRef ds:uri="http://schemas.microsoft.com/sharepoint/v3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68A09971-136E-48E8-935F-3D25B1843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6bd50b-1532-4c22-b385-5c082c960938"/>
    <ds:schemaRef ds:uri="8c4c6479-bb6a-4263-8159-fbb0afc5d4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</vt:lpstr>
    </vt:vector>
  </TitlesOfParts>
  <Company/>
  <LinksUpToDate>false</LinksUpToDate>
  <CharactersWithSpaces>5085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template</dc:title>
  <dc:creator>Page, Bonn</dc:creator>
  <cp:lastModifiedBy>Jones, Kayleigh</cp:lastModifiedBy>
  <cp:revision>7</cp:revision>
  <cp:lastPrinted>2022-05-11T23:44:00Z</cp:lastPrinted>
  <dcterms:created xsi:type="dcterms:W3CDTF">2023-01-05T05:47:00Z</dcterms:created>
  <dcterms:modified xsi:type="dcterms:W3CDTF">2023-01-09T02:22:00Z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0x0101005BC986DFDE75994F940B8C539C91BA04</vt:lpwstr>
  </property>
  <property fmtid="{D5CDD505-2E9C-101B-9397-08002B2CF9AE}" pid="3" name="DocHub_Year">
    <vt:lpwstr>1532;#2022-23|45480dfc-f68a-4957-b787-0b214acdcdb8</vt:lpwstr>
  </property>
  <property fmtid="{D5CDD505-2E9C-101B-9397-08002B2CF9AE}" pid="4" name="DocHub_DocumentType">
    <vt:lpwstr>378;#Fact Sheet|38af007d-6d80-4dd0-9833-ef17489d7c7e</vt:lpwstr>
  </property>
  <property fmtid="{D5CDD505-2E9C-101B-9397-08002B2CF9AE}" pid="5" name="DocHub_SecurityClassification">
    <vt:lpwstr>3;#OFFICIAL|6106d03b-a1a0-4e30-9d91-d5e9fb4314f9</vt:lpwstr>
  </property>
  <property fmtid="{D5CDD505-2E9C-101B-9397-08002B2CF9AE}" pid="6" name="DocHub_Keywords">
    <vt:lpwstr>1808;#Powering the Regions|20eb9334-2fa9-4536-99e6-8f0045b153e7;#234;#Safeguard Mechanism|462066da-c297-4969-b9e8-878ecfcc0dda;#1257;#safeguard crediting mechanism|75434233-90c7-4875-a6e6-25e899081f37</vt:lpwstr>
  </property>
  <property fmtid="{D5CDD505-2E9C-101B-9397-08002B2CF9AE}" pid="7" name="DocHub_WorkActivity">
    <vt:lpwstr>240;#Consultation|fb51ee50-3149-4bd9-89ce-8613c76e7a2f</vt:lpwstr>
  </property>
</Properties>
</file>